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DA0B8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8240" cy="10363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22" cy="10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DA0B8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(РОСКОМНАДЗОР, г. Москва)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A0B88">
        <w:rPr>
          <w:rFonts w:cstheme="minorHAnsi"/>
          <w:sz w:val="20"/>
          <w:szCs w:val="20"/>
        </w:rPr>
        <w:t>4205277233 ОГРН 1134205025349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A0B88">
        <w:rPr>
          <w:rFonts w:cstheme="minorHAnsi"/>
          <w:sz w:val="20"/>
          <w:szCs w:val="20"/>
        </w:rPr>
        <w:t>ТЛФ</w:t>
      </w:r>
      <w:r w:rsidRPr="00DA0B88">
        <w:rPr>
          <w:rFonts w:cstheme="minorHAnsi"/>
          <w:sz w:val="20"/>
          <w:szCs w:val="20"/>
          <w:lang w:val="en-US"/>
        </w:rPr>
        <w:t>. 8-923-606-29-50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A0B88">
        <w:rPr>
          <w:rFonts w:eastAsia="Batang" w:cstheme="minorHAnsi"/>
          <w:sz w:val="20"/>
          <w:szCs w:val="20"/>
        </w:rPr>
        <w:t>Е</w:t>
      </w:r>
      <w:r w:rsidRPr="00DA0B8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A0B8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A0B88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DA0B8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A0B8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DA0B88" w:rsidRDefault="00EE347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DA0B8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DA0B88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DA0B88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A0B88" w:rsidRDefault="00DA0B88" w:rsidP="007A3DAB">
      <w:pPr>
        <w:jc w:val="center"/>
        <w:rPr>
          <w:rFonts w:asciiTheme="majorHAnsi" w:hAnsiTheme="majorHAnsi"/>
          <w:b/>
          <w:sz w:val="24"/>
          <w:szCs w:val="24"/>
        </w:rPr>
      </w:pPr>
    </w:p>
    <w:p w:rsidR="006E3FC4" w:rsidRPr="00EE347F" w:rsidRDefault="00D35590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DA0B88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DA0B88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84980" w:rsidRPr="00784980">
        <w:rPr>
          <w:rFonts w:asciiTheme="majorHAnsi" w:hAnsiTheme="majorHAnsi"/>
          <w:b/>
          <w:sz w:val="24"/>
          <w:szCs w:val="24"/>
        </w:rPr>
        <w:t>Адаптация ребенка к условиям детского сада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DA0B88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DA0B88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84980" w:rsidRPr="00784980">
              <w:rPr>
                <w:rFonts w:asciiTheme="majorHAnsi" w:hAnsiTheme="majorHAnsi"/>
                <w:color w:val="000000" w:themeColor="text1"/>
              </w:rPr>
              <w:t>Адаптация ребенка к условиям детского сада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>1</w:t>
      </w:r>
      <w:r w:rsidRPr="00784980">
        <w:rPr>
          <w:rFonts w:asciiTheme="majorHAnsi" w:eastAsia="Times New Roman" w:hAnsiTheme="majorHAnsi" w:cstheme="minorHAnsi"/>
          <w:lang w:eastAsia="ru-RU"/>
        </w:rPr>
        <w:t xml:space="preserve">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Для успешной адаптации детей в ДОО необходимо поместить в конструктивно-игровую зону группы…</w:t>
      </w:r>
      <w:r w:rsidRPr="00784980">
        <w:rPr>
          <w:rFonts w:asciiTheme="majorHAnsi" w:eastAsia="Times New Roman" w:hAnsiTheme="majorHAnsi" w:cstheme="minorHAnsi"/>
          <w:b/>
          <w:lang w:eastAsia="ru-RU"/>
        </w:rPr>
        <w:t>?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материал для рисования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книжный уголок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материал для лепки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мягкие модели</w:t>
      </w:r>
    </w:p>
    <w:p w:rsidR="00784980" w:rsidRPr="00784980" w:rsidRDefault="00784980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Какое время при средней степени адаптации в ДОО у ребенка сохраняется неустойчивое настроение?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года</w:t>
      </w:r>
    </w:p>
    <w:p w:rsidR="00784980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3-х месяцев</w:t>
      </w:r>
    </w:p>
    <w:p w:rsidR="00784980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полугода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месяца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Причиной агрессивного поведения дошкольника часто бывает…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spellStart"/>
      <w:r w:rsidR="00784980" w:rsidRPr="00784980">
        <w:rPr>
          <w:rFonts w:asciiTheme="majorHAnsi" w:hAnsiTheme="majorHAnsi" w:cs="Arial"/>
          <w:shd w:val="clear" w:color="auto" w:fill="FFFFFF"/>
        </w:rPr>
        <w:t>демонстративность</w:t>
      </w:r>
      <w:proofErr w:type="spellEnd"/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невоспитанность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завышенная самооценка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заниженная самооценка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Какую из перечисленных стадий адаптации не выделял Г. </w:t>
      </w:r>
      <w:proofErr w:type="spellStart"/>
      <w:r w:rsidR="00784980" w:rsidRPr="00784980">
        <w:rPr>
          <w:rFonts w:asciiTheme="majorHAnsi" w:hAnsiTheme="majorHAnsi" w:cs="Arial"/>
          <w:b/>
          <w:shd w:val="clear" w:color="auto" w:fill="FFFFFF"/>
        </w:rPr>
        <w:t>Селье</w:t>
      </w:r>
      <w:proofErr w:type="spellEnd"/>
      <w:r w:rsidR="00784980" w:rsidRPr="00784980">
        <w:rPr>
          <w:rFonts w:asciiTheme="majorHAnsi" w:hAnsiTheme="majorHAnsi" w:cs="Arial"/>
          <w:b/>
          <w:shd w:val="clear" w:color="auto" w:fill="FFFFFF"/>
        </w:rPr>
        <w:t>?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реактивности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сопротивляемости, или стабилизации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тревоги с мобилизацией защитных сил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истощения</w:t>
      </w:r>
    </w:p>
    <w:p w:rsidR="00784980" w:rsidRPr="00784980" w:rsidRDefault="00784980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5.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Какими механизмами, по мнению Ж. Пиаже, представлена адаптация?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интеграцией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диссимиляцией</w:t>
      </w:r>
    </w:p>
    <w:p w:rsidR="0075357F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аллитерацией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ассимиляцией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6.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К антенатальным факторам, осложняющим адаптацию ребенка к дошкольному учреждению, относят…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курение матери во время беременности</w:t>
      </w:r>
    </w:p>
    <w:p w:rsidR="00784980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хирургические вмешательства во время родов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частые заболевания у ребенка до 3 лет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 xml:space="preserve">семейное воспитание по типу </w:t>
      </w:r>
      <w:proofErr w:type="spellStart"/>
      <w:r w:rsidR="00784980" w:rsidRPr="00784980">
        <w:rPr>
          <w:rFonts w:asciiTheme="majorHAnsi" w:hAnsiTheme="majorHAnsi" w:cs="Arial"/>
          <w:shd w:val="clear" w:color="auto" w:fill="FFFFFF"/>
        </w:rPr>
        <w:t>гиперопеки</w:t>
      </w:r>
      <w:proofErr w:type="spellEnd"/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7.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При легкой степени адаптации интерес к окружающему у ребенка восстанавливается при участии взрослого </w:t>
      </w:r>
      <w:proofErr w:type="gramStart"/>
      <w:r w:rsidR="00784980" w:rsidRPr="00784980">
        <w:rPr>
          <w:rFonts w:asciiTheme="majorHAnsi" w:hAnsiTheme="majorHAnsi" w:cs="Arial"/>
          <w:b/>
          <w:shd w:val="clear" w:color="auto" w:fill="FFFFFF"/>
        </w:rPr>
        <w:t>через</w:t>
      </w:r>
      <w:proofErr w:type="gramEnd"/>
      <w:r w:rsidR="00784980" w:rsidRPr="00784980">
        <w:rPr>
          <w:rFonts w:asciiTheme="majorHAnsi" w:hAnsiTheme="majorHAnsi" w:cs="Arial"/>
          <w:b/>
          <w:shd w:val="clear" w:color="auto" w:fill="FFFFFF"/>
        </w:rPr>
        <w:t>…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4 недели</w:t>
      </w:r>
    </w:p>
    <w:p w:rsidR="00784980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полгода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2 недели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год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8.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Термин "адаптация" (от лат</w:t>
      </w:r>
      <w:proofErr w:type="gramStart"/>
      <w:r w:rsidR="00784980" w:rsidRPr="00784980">
        <w:rPr>
          <w:rFonts w:asciiTheme="majorHAnsi" w:hAnsiTheme="majorHAnsi" w:cs="Arial"/>
          <w:b/>
          <w:shd w:val="clear" w:color="auto" w:fill="FFFFFF"/>
        </w:rPr>
        <w:t>.</w:t>
      </w:r>
      <w:proofErr w:type="gramEnd"/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 </w:t>
      </w:r>
      <w:proofErr w:type="spellStart"/>
      <w:proofErr w:type="gramStart"/>
      <w:r w:rsidR="00784980" w:rsidRPr="00784980">
        <w:rPr>
          <w:rFonts w:asciiTheme="majorHAnsi" w:hAnsiTheme="majorHAnsi" w:cs="Arial"/>
          <w:b/>
          <w:shd w:val="clear" w:color="auto" w:fill="FFFFFF"/>
        </w:rPr>
        <w:t>а</w:t>
      </w:r>
      <w:proofErr w:type="gramEnd"/>
      <w:r w:rsidR="00784980" w:rsidRPr="00784980">
        <w:rPr>
          <w:rFonts w:asciiTheme="majorHAnsi" w:hAnsiTheme="majorHAnsi" w:cs="Arial"/>
          <w:b/>
          <w:shd w:val="clear" w:color="auto" w:fill="FFFFFF"/>
        </w:rPr>
        <w:t>daptio</w:t>
      </w:r>
      <w:proofErr w:type="spellEnd"/>
      <w:r w:rsidR="00784980" w:rsidRPr="00784980">
        <w:rPr>
          <w:rFonts w:asciiTheme="majorHAnsi" w:hAnsiTheme="majorHAnsi" w:cs="Arial"/>
          <w:b/>
          <w:shd w:val="clear" w:color="auto" w:fill="FFFFFF"/>
        </w:rPr>
        <w:t>) означает…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784980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процесс гармонизации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взаимодействие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приспособление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реакция на воздействие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9.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Через какое время пребывания в ДОО ребенок привыкает к условиям при легкой степени адаптации?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15 дней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30 дней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20 дней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10 дней</w:t>
      </w:r>
    </w:p>
    <w:p w:rsidR="00784980" w:rsidRPr="00784980" w:rsidRDefault="00784980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10.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К </w:t>
      </w:r>
      <w:proofErr w:type="spellStart"/>
      <w:r w:rsidR="00784980" w:rsidRPr="00784980">
        <w:rPr>
          <w:rFonts w:asciiTheme="majorHAnsi" w:hAnsiTheme="majorHAnsi" w:cs="Arial"/>
          <w:b/>
          <w:shd w:val="clear" w:color="auto" w:fill="FFFFFF"/>
        </w:rPr>
        <w:t>интранатальным</w:t>
      </w:r>
      <w:proofErr w:type="spellEnd"/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 факторам, осложняющим адаптацию ребенка к дошкольному учреждению, относят…</w:t>
      </w:r>
    </w:p>
    <w:p w:rsidR="0075357F" w:rsidRPr="00784980" w:rsidRDefault="0075357F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прием лекарственных препаратов матерью во время беременности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конфликтные взаимоотношения в семье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несовместимость по резус-фактору у матери и ребенка</w:t>
      </w:r>
    </w:p>
    <w:p w:rsidR="00A16F94" w:rsidRPr="00784980" w:rsidRDefault="00A16F94" w:rsidP="00DA0B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задержку нервно-психического развития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74F1A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A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DA0B88" w:rsidRPr="00DA0B88" w:rsidRDefault="00DA0B88" w:rsidP="00DA0B88">
      <w:pPr>
        <w:rPr>
          <w:rFonts w:asciiTheme="majorHAnsi" w:hAnsiTheme="majorHAnsi"/>
        </w:rPr>
      </w:pPr>
    </w:p>
    <w:p w:rsidR="00DA0B88" w:rsidRDefault="00DA0B88" w:rsidP="00071634">
      <w:pPr>
        <w:rPr>
          <w:rFonts w:asciiTheme="majorHAnsi" w:hAnsiTheme="majorHAnsi"/>
        </w:rPr>
      </w:pPr>
    </w:p>
    <w:p w:rsidR="00DA0B88" w:rsidRPr="00DA0B88" w:rsidRDefault="00DA0B88" w:rsidP="00DA0B88">
      <w:pPr>
        <w:rPr>
          <w:rFonts w:asciiTheme="majorHAnsi" w:hAnsiTheme="majorHAnsi"/>
        </w:rPr>
      </w:pPr>
    </w:p>
    <w:p w:rsidR="00DA0B88" w:rsidRPr="00DA0B88" w:rsidRDefault="00DA0B88" w:rsidP="00DA0B88">
      <w:pPr>
        <w:rPr>
          <w:rFonts w:asciiTheme="majorHAnsi" w:hAnsiTheme="majorHAnsi"/>
        </w:rPr>
      </w:pPr>
    </w:p>
    <w:p w:rsidR="00DA0B88" w:rsidRDefault="00DA0B88" w:rsidP="00DA0B88">
      <w:pPr>
        <w:rPr>
          <w:rFonts w:asciiTheme="majorHAnsi" w:hAnsiTheme="majorHAnsi"/>
        </w:rPr>
      </w:pPr>
    </w:p>
    <w:p w:rsidR="00A53F23" w:rsidRDefault="00DA0B88" w:rsidP="00DA0B88">
      <w:pPr>
        <w:tabs>
          <w:tab w:val="left" w:pos="202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A0B88" w:rsidRDefault="00DA0B88" w:rsidP="00DA0B88">
      <w:pPr>
        <w:tabs>
          <w:tab w:val="left" w:pos="2028"/>
        </w:tabs>
        <w:rPr>
          <w:rFonts w:asciiTheme="majorHAnsi" w:hAnsiTheme="majorHAnsi"/>
        </w:rPr>
      </w:pPr>
    </w:p>
    <w:p w:rsidR="00DA0B88" w:rsidRDefault="00DA0B88" w:rsidP="00DA0B88">
      <w:pPr>
        <w:tabs>
          <w:tab w:val="left" w:pos="2028"/>
        </w:tabs>
        <w:rPr>
          <w:rFonts w:asciiTheme="majorHAnsi" w:hAnsiTheme="majorHAnsi"/>
        </w:rPr>
      </w:pPr>
    </w:p>
    <w:p w:rsidR="00DA0B88" w:rsidRDefault="00DA0B88" w:rsidP="00DA0B88">
      <w:pPr>
        <w:tabs>
          <w:tab w:val="left" w:pos="2028"/>
        </w:tabs>
        <w:rPr>
          <w:rFonts w:asciiTheme="majorHAnsi" w:hAnsiTheme="majorHAnsi"/>
        </w:rPr>
      </w:pPr>
    </w:p>
    <w:p w:rsidR="00DA0B88" w:rsidRDefault="00DA0B88" w:rsidP="00DA0B88">
      <w:pPr>
        <w:tabs>
          <w:tab w:val="left" w:pos="2028"/>
        </w:tabs>
        <w:rPr>
          <w:rFonts w:asciiTheme="majorHAnsi" w:hAnsiTheme="majorHAnsi"/>
        </w:rPr>
      </w:pPr>
    </w:p>
    <w:p w:rsidR="00DA0B88" w:rsidRPr="00DA0B88" w:rsidRDefault="00DA0B88" w:rsidP="00DA0B88">
      <w:pPr>
        <w:tabs>
          <w:tab w:val="left" w:pos="2028"/>
        </w:tabs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4F1A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58CD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6F9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0B8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BC8F-B4A1-4275-B0FC-B1296A00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2016-01-15T15:44:00Z</dcterms:created>
  <dcterms:modified xsi:type="dcterms:W3CDTF">2023-08-28T10:34:00Z</dcterms:modified>
</cp:coreProperties>
</file>