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7C52E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2E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2E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2E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2E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7C52E2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C52E2">
        <w:rPr>
          <w:rFonts w:asciiTheme="majorHAnsi" w:hAnsiTheme="majorHAnsi" w:cs="Arial"/>
          <w:b/>
          <w:sz w:val="24"/>
          <w:szCs w:val="24"/>
        </w:rPr>
        <w:t>«Научно-исследовательская деятельность учителя как фактор развития педагогического мастерства»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55E2A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2E259-AA6A-4AEB-83B9-91118181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754</cp:revision>
  <dcterms:created xsi:type="dcterms:W3CDTF">2014-07-03T15:28:00Z</dcterms:created>
  <dcterms:modified xsi:type="dcterms:W3CDTF">2024-02-27T05:10:00Z</dcterms:modified>
</cp:coreProperties>
</file>