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CA1149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A1149">
        <w:rPr>
          <w:rFonts w:asciiTheme="majorHAnsi" w:hAnsiTheme="majorHAnsi" w:cs="Arial"/>
          <w:b/>
          <w:sz w:val="24"/>
          <w:szCs w:val="24"/>
        </w:rPr>
        <w:t>«Дистанционная работа воспитателя»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E82DD2" w:rsidRDefault="00E82DD2" w:rsidP="00E82DD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E82DD2" w:rsidP="00E82DD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497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2DD2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413C-BF28-43BF-B2D9-81EC8D7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2023-03-06T05:13:00Z</dcterms:modified>
</cp:coreProperties>
</file>