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4C125C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4C125C">
        <w:rPr>
          <w:rFonts w:asciiTheme="majorHAnsi" w:hAnsiTheme="majorHAnsi" w:cs="Arial"/>
          <w:b/>
          <w:i/>
          <w:sz w:val="24"/>
          <w:szCs w:val="24"/>
        </w:rPr>
        <w:t>«Старший воспитатель - управление образовательной деятельностью в соответствии с ФГОС ДО»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изм.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Портфолио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Банковским переводом через систему онлайн,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Р/с: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 xml:space="preserve">К/с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2. На карту «Сбербанк» через систему онлайн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Г.МОСКВА,УЛ.МОСКОВСКАЯ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____коп.   Сумма платы за услуги: _______ руб. _____коп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25C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35B4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27A84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3030D-CB34-4B34-A88E-89576E42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2025-08-03T09:28:00Z</dcterms:modified>
</cp:coreProperties>
</file>