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A1212C" w:rsidRDefault="00A1212C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A1212C">
        <w:rPr>
          <w:rFonts w:asciiTheme="majorHAnsi" w:hAnsiTheme="majorHAnsi" w:cs="Times New Roman"/>
          <w:b/>
          <w:i/>
          <w:sz w:val="24"/>
          <w:szCs w:val="24"/>
        </w:rPr>
        <w:t>«Конкурс для детей с ограниченными возможностями здоровья</w:t>
      </w:r>
    </w:p>
    <w:p w:rsidR="006B28B1" w:rsidRPr="00040176" w:rsidRDefault="00A1212C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A1212C">
        <w:rPr>
          <w:rFonts w:asciiTheme="majorHAnsi" w:hAnsiTheme="majorHAnsi" w:cs="Times New Roman"/>
          <w:b/>
          <w:i/>
          <w:sz w:val="24"/>
          <w:szCs w:val="24"/>
        </w:rPr>
        <w:t xml:space="preserve"> «Как прекрасен мир!»»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Актерское мастерство • Компьютерная графика • Кроссворды • Совместные работы педагогов и 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102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12C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E1F8-8CAC-499E-9D0B-10C02053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2026-07-29T10:23:00Z</dcterms:modified>
</cp:coreProperties>
</file>