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E56367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56367">
        <w:rPr>
          <w:rFonts w:asciiTheme="majorHAnsi" w:hAnsiTheme="majorHAnsi" w:cstheme="minorHAnsi"/>
          <w:b/>
          <w:i/>
          <w:sz w:val="24"/>
          <w:szCs w:val="24"/>
        </w:rPr>
        <w:t>«Самообразование педагога, как фактор повышения профессиональной компетенции»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4E86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56367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7C57D-DA91-4796-AE7E-FBD7DD369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2026-08-04T12:02:00Z</dcterms:modified>
</cp:coreProperties>
</file>