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AD6F7C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AD6F7C">
        <w:rPr>
          <w:rFonts w:asciiTheme="majorHAnsi" w:hAnsiTheme="majorHAnsi" w:cstheme="minorHAnsi"/>
          <w:b/>
          <w:i/>
          <w:sz w:val="24"/>
          <w:szCs w:val="24"/>
        </w:rPr>
        <w:t>«Развитие творческого мышления и творческих способностей учащихся, воспитанников»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274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D6F7C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98821-59CB-4CF4-848E-04E4C9EA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2026-08-04T11:53:00Z</dcterms:modified>
</cp:coreProperties>
</file>