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DD25B9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DD25B9">
        <w:rPr>
          <w:rFonts w:asciiTheme="majorHAnsi" w:hAnsiTheme="majorHAnsi" w:cstheme="minorHAnsi"/>
          <w:b/>
          <w:i/>
          <w:sz w:val="24"/>
          <w:szCs w:val="24"/>
        </w:rPr>
        <w:t>«Медиаобразование как фактор развития критического мышления»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Г.МОСКВА,УЛ.МОСКОВСКАЯ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____коп.   Сумма платы за услуги: _______ руб. _____коп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420A0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25B9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77A14-29E7-476A-9FFA-3DBCF9462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411</cp:revision>
  <dcterms:created xsi:type="dcterms:W3CDTF">2017-07-17T02:39:00Z</dcterms:created>
  <dcterms:modified xsi:type="dcterms:W3CDTF">2026-08-04T11:47:00Z</dcterms:modified>
</cp:coreProperties>
</file>