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264EA0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264EA0">
        <w:rPr>
          <w:rFonts w:asciiTheme="majorHAnsi" w:hAnsiTheme="majorHAnsi" w:cs="Arial"/>
          <w:b/>
          <w:i/>
          <w:sz w:val="25"/>
          <w:szCs w:val="25"/>
        </w:rPr>
        <w:t>«Эффективные формы работы с родителями в рамках ФГОС»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64EA0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04D1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03C71-5C12-450D-835F-13E9CEFD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2026-07-16T11:34:00Z</dcterms:modified>
</cp:coreProperties>
</file>