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8440EA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8440EA">
        <w:rPr>
          <w:rFonts w:asciiTheme="majorHAnsi" w:hAnsiTheme="majorHAnsi" w:cs="Arial"/>
          <w:b/>
          <w:i/>
          <w:sz w:val="25"/>
          <w:szCs w:val="25"/>
        </w:rPr>
        <w:t xml:space="preserve">«Лучшие практики применения </w:t>
      </w:r>
      <w:proofErr w:type="spellStart"/>
      <w:r w:rsidRPr="008440EA">
        <w:rPr>
          <w:rFonts w:asciiTheme="majorHAnsi" w:hAnsiTheme="majorHAnsi" w:cs="Arial"/>
          <w:b/>
          <w:i/>
          <w:sz w:val="25"/>
          <w:szCs w:val="25"/>
        </w:rPr>
        <w:t>ИКТ-технологий</w:t>
      </w:r>
      <w:proofErr w:type="spellEnd"/>
      <w:r w:rsidRPr="008440EA">
        <w:rPr>
          <w:rFonts w:asciiTheme="majorHAnsi" w:hAnsiTheme="majorHAnsi" w:cs="Arial"/>
          <w:b/>
          <w:i/>
          <w:sz w:val="25"/>
          <w:szCs w:val="25"/>
        </w:rPr>
        <w:t xml:space="preserve"> в работе педагога основной и старшей школы»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5237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40E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4AD75-C208-47DE-B802-72AA60AE0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2026-07-16T11:24:00Z</dcterms:modified>
</cp:coreProperties>
</file>