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DC6CD2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DC6CD2">
        <w:rPr>
          <w:rFonts w:asciiTheme="majorHAnsi" w:hAnsiTheme="majorHAnsi" w:cs="Arial"/>
          <w:b/>
          <w:sz w:val="24"/>
          <w:szCs w:val="24"/>
        </w:rPr>
        <w:t>«Лучшая презентация к уроку (занятию) 2025-2026 учебного года»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E6040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CD2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0E8E-F2FD-4C17-8800-EAA073ED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74</cp:revision>
  <dcterms:created xsi:type="dcterms:W3CDTF">2024-07-15T12:40:00Z</dcterms:created>
  <dcterms:modified xsi:type="dcterms:W3CDTF">2025-07-29T07:06:00Z</dcterms:modified>
</cp:coreProperties>
</file>