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A0A2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A0A26" w:rsidRPr="00CA0A26">
        <w:rPr>
          <w:rFonts w:ascii="Cambria" w:hAnsi="Cambria" w:cs="Arial"/>
          <w:b/>
          <w:sz w:val="24"/>
          <w:szCs w:val="24"/>
        </w:rPr>
        <w:t>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14A6B" w:rsidRDefault="00EC434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14A6B">
              <w:rPr>
                <w:rFonts w:cstheme="minorHAnsi"/>
                <w:sz w:val="24"/>
                <w:szCs w:val="24"/>
              </w:rPr>
              <w:t>ГПО АУ АКС ЖКХ, Амурская область, г. Благовещенск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14A6B" w:rsidRDefault="00CA0A2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14A6B">
              <w:rPr>
                <w:rFonts w:cstheme="minorHAnsi"/>
                <w:sz w:val="24"/>
                <w:szCs w:val="24"/>
              </w:rPr>
              <w:t>Исайчева Татьяна Игоревна, Самборский Данил Андреевич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416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27DA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4A6B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380E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A0A26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434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C87-DAB4-4473-9BEA-F0F61CC3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2023-01-26T11:10:00Z</dcterms:modified>
</cp:coreProperties>
</file>