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B24CF">
        <w:rPr>
          <w:rFonts w:asciiTheme="minorHAnsi" w:hAnsiTheme="minorHAnsi" w:cstheme="minorHAnsi"/>
          <w:b/>
          <w:sz w:val="20"/>
          <w:szCs w:val="20"/>
        </w:rPr>
        <w:t>6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B24CF" w:rsidRPr="001B24CF">
        <w:rPr>
          <w:rFonts w:ascii="Cambria" w:hAnsi="Cambria" w:cs="Arial"/>
          <w:b/>
          <w:sz w:val="24"/>
          <w:szCs w:val="24"/>
        </w:rPr>
        <w:t>Мотивация учебной деятельности по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327F44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МОУ Гимназия г. Малоярославца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327F44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Королёва Наталья Георгиевна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327F44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24CF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16365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4C05-F094-49A2-9BC0-C311D2B7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2014-07-03T15:28:00Z</dcterms:created>
  <dcterms:modified xsi:type="dcterms:W3CDTF">2022-09-10T11:27:00Z</dcterms:modified>
</cp:coreProperties>
</file>