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2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E168D">
        <w:rPr>
          <w:rFonts w:asciiTheme="minorHAnsi" w:hAnsiTheme="minorHAnsi" w:cstheme="minorHAnsi"/>
          <w:b/>
          <w:sz w:val="20"/>
          <w:szCs w:val="20"/>
        </w:rPr>
        <w:t>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E168D" w:rsidRPr="00BE168D">
        <w:rPr>
          <w:rFonts w:ascii="Cambria" w:hAnsi="Cambria" w:cs="Arial"/>
          <w:b/>
          <w:sz w:val="24"/>
          <w:szCs w:val="24"/>
        </w:rPr>
        <w:t>Методическая разработка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BE168D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BE168D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Морозова Марина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3238"/>
    <w:rsid w:val="00BD30AB"/>
    <w:rsid w:val="00BD7473"/>
    <w:rsid w:val="00BE168D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3FC0-4CF6-41C5-9C78-77AB1BC3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2023-05-11T04:57:00Z</dcterms:modified>
</cp:coreProperties>
</file>