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0198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162BF">
        <w:rPr>
          <w:rFonts w:asciiTheme="minorHAnsi" w:hAnsiTheme="minorHAnsi" w:cstheme="minorHAnsi"/>
          <w:b/>
          <w:sz w:val="20"/>
          <w:szCs w:val="20"/>
        </w:rPr>
        <w:t>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0198C" w:rsidRPr="0060198C">
        <w:rPr>
          <w:rFonts w:ascii="Cambria" w:hAnsi="Cambria" w:cs="Arial"/>
          <w:b/>
          <w:sz w:val="24"/>
          <w:szCs w:val="24"/>
        </w:rPr>
        <w:t>Лучшая педагогическая статья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60198C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КО «КТК», г. Калуга</w:t>
            </w:r>
          </w:p>
        </w:tc>
        <w:tc>
          <w:tcPr>
            <w:tcW w:w="3710" w:type="dxa"/>
            <w:shd w:val="clear" w:color="auto" w:fill="FFFFFF" w:themeFill="background1"/>
          </w:tcPr>
          <w:p w:rsidR="0060198C" w:rsidRDefault="0060198C" w:rsidP="006019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B65AAB" w:rsidRPr="0053736E" w:rsidRDefault="0060198C" w:rsidP="0060198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198C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8C2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ED92-5A78-44E5-8EC1-C2E612BD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2023-05-13T09:44:00Z</dcterms:modified>
</cp:coreProperties>
</file>