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AC34F0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C34F0">
        <w:rPr>
          <w:rFonts w:asciiTheme="majorHAnsi" w:hAnsiTheme="majorHAnsi" w:cs="Arial"/>
          <w:b/>
          <w:i/>
          <w:sz w:val="24"/>
          <w:szCs w:val="24"/>
        </w:rPr>
        <w:t>«Лучшие практики среднего профессионального образования»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2A8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125D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B65E6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0318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34F0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092B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2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5BFAC-73F7-4D05-AD8D-921F1AFB5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80</cp:revision>
  <dcterms:created xsi:type="dcterms:W3CDTF">2024-07-15T12:40:00Z</dcterms:created>
  <dcterms:modified xsi:type="dcterms:W3CDTF">2026-07-30T12:56:00Z</dcterms:modified>
</cp:coreProperties>
</file>