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B42F2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B42F2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B42F2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B42F2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B42F2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7A12DB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A12DB">
        <w:rPr>
          <w:rFonts w:asciiTheme="majorHAnsi" w:hAnsiTheme="majorHAnsi" w:cs="Arial"/>
          <w:b/>
          <w:sz w:val="24"/>
          <w:szCs w:val="24"/>
        </w:rPr>
        <w:t>«Педагог-организатор, методы работы в общеобразовательной организации в соответствии с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69C1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7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14044-92BC-47FA-AF83-1568B65EE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858</cp:revision>
  <dcterms:created xsi:type="dcterms:W3CDTF">2014-07-03T15:28:00Z</dcterms:created>
  <dcterms:modified xsi:type="dcterms:W3CDTF">2024-02-29T11:55:00Z</dcterms:modified>
</cp:coreProperties>
</file>