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29" w:rsidRDefault="009166DC" w:rsidP="00CF7C29">
      <w:pPr>
        <w:spacing w:line="360" w:lineRule="auto"/>
        <w:ind w:right="14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проект «Совершенствование интона</w:t>
      </w:r>
      <w:r w:rsidR="00CF7C29">
        <w:rPr>
          <w:rFonts w:ascii="Times New Roman" w:hAnsi="Times New Roman" w:cs="Times New Roman"/>
          <w:sz w:val="28"/>
          <w:szCs w:val="28"/>
        </w:rPr>
        <w:t>ционной выразительности речи и развитие воображения старших дошкольников в театрализованной деятельности»</w:t>
      </w:r>
    </w:p>
    <w:p w:rsidR="00B86919" w:rsidRDefault="00B86919" w:rsidP="00B86919">
      <w:pPr>
        <w:spacing w:line="360" w:lineRule="auto"/>
        <w:ind w:right="14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Владимировна, воспитатель;</w:t>
      </w:r>
      <w:r>
        <w:rPr>
          <w:rFonts w:ascii="Times New Roman" w:hAnsi="Times New Roman" w:cs="Times New Roman"/>
          <w:sz w:val="28"/>
          <w:szCs w:val="28"/>
        </w:rPr>
        <w:br/>
        <w:t>Шорохова Ирина Сергеевна, воспитатель.</w:t>
      </w:r>
    </w:p>
    <w:p w:rsidR="00B86919" w:rsidRDefault="00B86919" w:rsidP="00B86919">
      <w:pPr>
        <w:spacing w:line="360" w:lineRule="auto"/>
        <w:ind w:right="14"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62AFF" w:rsidRDefault="00BD6F3F" w:rsidP="009166DC">
      <w:pPr>
        <w:spacing w:line="360" w:lineRule="auto"/>
        <w:ind w:right="14" w:firstLine="720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Прогимназия «Зимородок»</w:t>
      </w:r>
      <w:r w:rsidR="004C19F6">
        <w:rPr>
          <w:rFonts w:ascii="Times New Roman" w:hAnsi="Times New Roman" w:cs="Times New Roman"/>
          <w:sz w:val="28"/>
          <w:szCs w:val="28"/>
        </w:rPr>
        <w:t xml:space="preserve"> реализует концепцию «Школа понимания», </w:t>
      </w:r>
      <w:proofErr w:type="gramStart"/>
      <w:r w:rsidR="004C19F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4C19F6">
        <w:rPr>
          <w:rFonts w:ascii="Times New Roman" w:hAnsi="Times New Roman" w:cs="Times New Roman"/>
          <w:sz w:val="28"/>
          <w:szCs w:val="28"/>
        </w:rPr>
        <w:t xml:space="preserve"> согласуется с ФГОС ДО. На уровне дошкольного образования инновационный компонент представлен программой Н.Я. </w:t>
      </w:r>
      <w:proofErr w:type="spellStart"/>
      <w:r w:rsidR="004C19F6">
        <w:rPr>
          <w:rFonts w:ascii="Times New Roman" w:hAnsi="Times New Roman" w:cs="Times New Roman"/>
          <w:sz w:val="28"/>
          <w:szCs w:val="28"/>
        </w:rPr>
        <w:t>Большуновой</w:t>
      </w:r>
      <w:proofErr w:type="spellEnd"/>
      <w:r w:rsidR="004C19F6">
        <w:rPr>
          <w:rFonts w:ascii="Times New Roman" w:hAnsi="Times New Roman" w:cs="Times New Roman"/>
          <w:sz w:val="28"/>
          <w:szCs w:val="28"/>
        </w:rPr>
        <w:t xml:space="preserve"> «Воспитание в форме игры средствами сказки». Это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на основе интеграции образовательных областей единство воспитательных, развивающих и  обучающих целей. В этой связи использование проектной деятельности является продуктивным для реализации программы.</w:t>
      </w:r>
      <w:r w:rsidR="0086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детей организуется 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где взрослый выступает носителем опыта культуры являясь одновременно "справочником",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проблематизатором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", "режиссером", "посредником"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развития. Такая организация деятельности позволяет развиваться собственно познавательной мотивации, создает условия для развития внутреннего плана действий новообразований возраста, поскольку у ребенка имеется предмет рефлексии планирование и произвольности.</w:t>
      </w:r>
      <w:r w:rsidRPr="00BD6F3F">
        <w:rPr>
          <w:rFonts w:ascii="Times New Roman" w:hAnsi="Times New Roman" w:cs="Times New Roman"/>
          <w:sz w:val="28"/>
          <w:szCs w:val="28"/>
        </w:rPr>
        <w:t xml:space="preserve"> </w:t>
      </w:r>
      <w:r w:rsidR="00862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метода проектной деятельности в работе со старшими дошкольниками позволяет поддерживать становление и развитие ряда важных качеств,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данного возрастного периода. Это, прежде всего, любознательность, наблюдательность, стремление к самостоятельному поиску ответов на возникающие в процессе реализации проекта у ребенка вопросы, что позволяет формировать и поддерживать проектные образовательные ситуации.</w:t>
      </w:r>
      <w:r w:rsidR="00862AFF">
        <w:rPr>
          <w:rFonts w:ascii="Times New Roman" w:hAnsi="Times New Roman" w:cs="Times New Roman"/>
          <w:sz w:val="28"/>
          <w:szCs w:val="28"/>
        </w:rPr>
        <w:t xml:space="preserve"> </w:t>
      </w:r>
      <w:r w:rsidR="00862AFF">
        <w:rPr>
          <w:rFonts w:ascii="Times New Roman" w:hAnsi="Times New Roman" w:cs="Times New Roman"/>
          <w:color w:val="2D2A2A"/>
          <w:sz w:val="28"/>
          <w:szCs w:val="28"/>
        </w:rPr>
        <w:t xml:space="preserve">В педагогике и психологии исследована проблема разностороннего влияния театрализованной деятельности на личность ребенка, что позволяет использовать ее как сильное, но ненавязчивое педагогическое средство, так как во время нее </w:t>
      </w:r>
      <w:r w:rsidR="00862AFF">
        <w:rPr>
          <w:rFonts w:ascii="Times New Roman" w:hAnsi="Times New Roman" w:cs="Times New Roman"/>
          <w:color w:val="2D2A2A"/>
          <w:sz w:val="28"/>
          <w:szCs w:val="28"/>
        </w:rPr>
        <w:lastRenderedPageBreak/>
        <w:t>ребенок чувствует себя свободно и раскованно. Известно, что театрализованная деятельность помогает ребенку решать многие проблемные ситуации опосредованно от лица какого-либо персонажа. В Программе "От рождения до школы" отмечена важность получения опыта осмысления происходящих событий и выражения своего отношения к ним при помощи культурных средств.</w:t>
      </w:r>
    </w:p>
    <w:p w:rsidR="00BD6F3F" w:rsidRDefault="00862AFF" w:rsidP="009166DC">
      <w:pPr>
        <w:spacing w:line="360" w:lineRule="auto"/>
        <w:ind w:right="14" w:firstLine="720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Обучающий ресурс проектной деятельности заключается в работе над выразительностью реплик персонажей, собственных высказываний, что</w:t>
      </w:r>
      <w:r w:rsidR="006217F6" w:rsidRPr="006217F6">
        <w:rPr>
          <w:rFonts w:ascii="Times New Roman" w:hAnsi="Times New Roman" w:cs="Times New Roman"/>
          <w:color w:val="2D2A2A"/>
          <w:sz w:val="28"/>
          <w:szCs w:val="28"/>
        </w:rPr>
        <w:t xml:space="preserve"> </w:t>
      </w:r>
      <w:r w:rsidR="006217F6">
        <w:rPr>
          <w:rFonts w:ascii="Times New Roman" w:hAnsi="Times New Roman" w:cs="Times New Roman"/>
          <w:color w:val="2D2A2A"/>
          <w:sz w:val="28"/>
          <w:szCs w:val="28"/>
        </w:rPr>
        <w:t>актуализирует и обогащает  словарь ребенка, совершенствует звуковую сторону, ее интонационный строй. Новая роль, особенно диалог персонажей, ставит ребенка перед необходимостью ясно, четко, понятно изъясняться. У него улучшается диалогическая речь, ее грамматический строй. Инсценировки сказок и литературных произведений готовят детей к развернутому, связному и последовательному изложению мыслей, упорядочивают их речевую деятельность.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 </w:t>
      </w:r>
    </w:p>
    <w:p w:rsidR="00CB5775" w:rsidRDefault="00CB5775" w:rsidP="009166DC">
      <w:pPr>
        <w:spacing w:line="360" w:lineRule="auto"/>
        <w:ind w:right="14" w:firstLine="720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Постановка проблемы:</w:t>
      </w:r>
    </w:p>
    <w:p w:rsidR="00CB5775" w:rsidRDefault="00CB5775" w:rsidP="009166DC">
      <w:pPr>
        <w:spacing w:line="360" w:lineRule="auto"/>
        <w:ind w:right="14" w:firstLine="720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Проведя диагностические исследования творческих способностей детей в начале учебного года, </w:t>
      </w:r>
      <w:r w:rsidR="00A742C1">
        <w:rPr>
          <w:rFonts w:ascii="Times New Roman" w:hAnsi="Times New Roman" w:cs="Times New Roman"/>
          <w:color w:val="2D2A2A"/>
          <w:sz w:val="28"/>
          <w:szCs w:val="28"/>
        </w:rPr>
        <w:t>нами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были выявлены проблемы в речевом развитии ребят: некоторые с трудом рассказывают о событиях своей жизни,  другие не могут пересказать литературное произведение, часть дошкольников плохо запоминают небольшие стихотворения, упуская интонационную выразительность. В связи с этим </w:t>
      </w:r>
      <w:r w:rsidR="00A742C1">
        <w:rPr>
          <w:rFonts w:ascii="Times New Roman" w:hAnsi="Times New Roman" w:cs="Times New Roman"/>
          <w:color w:val="2D2A2A"/>
          <w:sz w:val="28"/>
          <w:szCs w:val="28"/>
        </w:rPr>
        <w:t>нами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был сделан вывод о необходимости дополнительной работы по данной проблеме и принято решение об организации пр</w:t>
      </w:r>
      <w:r w:rsidR="00970B4D">
        <w:rPr>
          <w:rFonts w:ascii="Times New Roman" w:hAnsi="Times New Roman" w:cs="Times New Roman"/>
          <w:color w:val="2D2A2A"/>
          <w:sz w:val="28"/>
          <w:szCs w:val="28"/>
        </w:rPr>
        <w:t>оектной деятельности по теме: "</w:t>
      </w:r>
      <w:r>
        <w:rPr>
          <w:rFonts w:ascii="Times New Roman" w:hAnsi="Times New Roman" w:cs="Times New Roman"/>
          <w:color w:val="2D2A2A"/>
          <w:sz w:val="28"/>
          <w:szCs w:val="28"/>
        </w:rPr>
        <w:t>Совершенствование интонационной выразительности речи и развитие воображения у старших дошкольников.</w:t>
      </w:r>
    </w:p>
    <w:p w:rsidR="00CB5775" w:rsidRDefault="00CB5775" w:rsidP="009166DC">
      <w:pPr>
        <w:spacing w:line="360" w:lineRule="auto"/>
        <w:ind w:right="14" w:firstLine="720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Цель проекта: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создать условия </w:t>
      </w:r>
      <w:r>
        <w:rPr>
          <w:rFonts w:ascii="Times New Roman" w:hAnsi="Times New Roman" w:cs="Times New Roman"/>
          <w:sz w:val="28"/>
          <w:szCs w:val="28"/>
        </w:rPr>
        <w:t>для совершенствования интонационной выразительности речи и развития  воображения      творческой активности детей в театрализованной деятельности.</w:t>
      </w:r>
    </w:p>
    <w:p w:rsidR="00CB5775" w:rsidRDefault="00CB5775" w:rsidP="009166DC">
      <w:pPr>
        <w:spacing w:line="360" w:lineRule="auto"/>
        <w:ind w:right="14" w:firstLine="720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Задачи проекта: 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lastRenderedPageBreak/>
        <w:t xml:space="preserve">Развивать творческую активность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интонаций и т.д.). 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Совершенствовать коммуникативные качества личности детей через обучение вербальным и невербальным видам общения. Развивать речевую активность дошкольников с нарушениями речи.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Обеспечивать взаимосвязь с разнообразными видами деятельности.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Приобщать взрослых и детей к театрально-исполнительской деятельности.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b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Воспитывать доверительные отношения друг к другу.</w:t>
      </w:r>
    </w:p>
    <w:p w:rsidR="00CB5775" w:rsidRDefault="00CB5775" w:rsidP="009166DC">
      <w:pPr>
        <w:spacing w:line="360" w:lineRule="auto"/>
        <w:ind w:right="1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2D2A2A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дети, родители, педагоги подготовительной группы.</w:t>
      </w:r>
    </w:p>
    <w:p w:rsidR="00CB5775" w:rsidRPr="00B75F23" w:rsidRDefault="00CB5775" w:rsidP="009166DC">
      <w:pPr>
        <w:spacing w:line="360" w:lineRule="auto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F23">
        <w:rPr>
          <w:rFonts w:ascii="Times New Roman" w:hAnsi="Times New Roman" w:cs="Times New Roman"/>
          <w:b/>
          <w:sz w:val="28"/>
          <w:szCs w:val="28"/>
        </w:rPr>
        <w:t xml:space="preserve">Организация проекта. </w:t>
      </w:r>
    </w:p>
    <w:p w:rsidR="00CB5775" w:rsidRDefault="00CB5775" w:rsidP="009166DC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Исследовательский этап </w:t>
      </w:r>
      <w:r>
        <w:rPr>
          <w:rFonts w:ascii="Times New Roman" w:hAnsi="Times New Roman" w:cs="Times New Roman"/>
          <w:color w:val="2D2A2A"/>
          <w:sz w:val="28"/>
          <w:szCs w:val="28"/>
        </w:rPr>
        <w:t>(сентябрь - октябрь 2014 - май 2015)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: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Диагностика творческих способностей детей, их умений и навыков.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Обобщение и анализ полученных данных.</w:t>
      </w:r>
    </w:p>
    <w:p w:rsidR="00CB5775" w:rsidRDefault="00CB5775" w:rsidP="009166DC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 xml:space="preserve">Организационный этап </w:t>
      </w:r>
      <w:r>
        <w:rPr>
          <w:rFonts w:ascii="Times New Roman" w:hAnsi="Times New Roman" w:cs="Times New Roman"/>
          <w:color w:val="2D2A2A"/>
          <w:sz w:val="28"/>
          <w:szCs w:val="28"/>
        </w:rPr>
        <w:t>(сентябрь 2014 года)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:</w:t>
      </w:r>
    </w:p>
    <w:p w:rsidR="00CB5775" w:rsidRDefault="00CB5775" w:rsidP="009166DC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Изучение современной методической литературы для внедрения в структуру реализации проекта.</w:t>
      </w:r>
    </w:p>
    <w:p w:rsidR="00CB5775" w:rsidRPr="00EB396F" w:rsidRDefault="00CB5775" w:rsidP="009166DC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Составление перспективного плана театрализованной деятельности в подготовительной группе с учетом возрастных особенностей детей. </w:t>
      </w:r>
      <w:r w:rsidRPr="00EB396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CB5775" w:rsidRDefault="00CB5775" w:rsidP="009166DC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14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Разработка различных типов совместной деятельности.</w:t>
      </w:r>
    </w:p>
    <w:p w:rsidR="00CB5775" w:rsidRDefault="00CB5775" w:rsidP="009166DC">
      <w:pPr>
        <w:numPr>
          <w:ilvl w:val="0"/>
          <w:numId w:val="1"/>
        </w:numPr>
        <w:tabs>
          <w:tab w:val="left" w:pos="720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Практический этап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(октябрь 2014 - апрель 2015 год)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: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Формирование развивающей среды с учетом </w:t>
      </w:r>
      <w:r w:rsidRPr="00EB396F">
        <w:rPr>
          <w:rFonts w:ascii="Times New Roman" w:hAnsi="Times New Roman" w:cs="Times New Roman"/>
          <w:sz w:val="28"/>
          <w:szCs w:val="28"/>
        </w:rPr>
        <w:t>содержания проекта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и возрастных особенностей интересов детей;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Подбор художественной литературы для образовательной деятельности познавательного цикла.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Создание эскизов декораций и костюмов. Просмотры видеозаписей спектаклей детских театров и постановок в исполнении воспитанников </w:t>
      </w:r>
      <w:r>
        <w:rPr>
          <w:rFonts w:ascii="Times New Roman" w:hAnsi="Times New Roman" w:cs="Times New Roman"/>
          <w:color w:val="2D2A2A"/>
          <w:sz w:val="28"/>
          <w:szCs w:val="28"/>
        </w:rPr>
        <w:lastRenderedPageBreak/>
        <w:t>прошлых лет, слушание грамзаписей, изготовление театральных афиш, сказочных игрушек, рисование пригласительных билетов, театральных и сказочных персонажей.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b/>
          <w:bCs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Показ театрализованного спектакля для детей детского сада и родителей</w:t>
      </w:r>
    </w:p>
    <w:p w:rsidR="00CB5775" w:rsidRDefault="00CB5775" w:rsidP="009166DC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Обобщающий этап</w:t>
      </w:r>
      <w:r>
        <w:rPr>
          <w:rFonts w:ascii="Times New Roman" w:hAnsi="Times New Roman" w:cs="Times New Roman"/>
          <w:color w:val="2D2A2A"/>
          <w:sz w:val="28"/>
          <w:szCs w:val="28"/>
        </w:rPr>
        <w:t xml:space="preserve"> (май 2015 год)</w:t>
      </w:r>
      <w:r>
        <w:rPr>
          <w:rFonts w:ascii="Times New Roman" w:hAnsi="Times New Roman" w:cs="Times New Roman"/>
          <w:b/>
          <w:bCs/>
          <w:color w:val="2D2A2A"/>
          <w:sz w:val="28"/>
          <w:szCs w:val="28"/>
        </w:rPr>
        <w:t>: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Подведение итогов проделанной работы в рамках проекта.</w:t>
      </w:r>
    </w:p>
    <w:p w:rsidR="00CB5775" w:rsidRDefault="00CB5775" w:rsidP="009166DC">
      <w:pPr>
        <w:numPr>
          <w:ilvl w:val="0"/>
          <w:numId w:val="1"/>
        </w:numPr>
        <w:tabs>
          <w:tab w:val="left" w:pos="714"/>
        </w:tabs>
        <w:spacing w:line="360" w:lineRule="auto"/>
        <w:ind w:left="0"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>Контрольные срезы и анализ результатов диагностического исследования.</w:t>
      </w:r>
    </w:p>
    <w:p w:rsidR="006217F6" w:rsidRDefault="00CB5775" w:rsidP="009166DC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D2A2A"/>
          <w:sz w:val="28"/>
          <w:szCs w:val="28"/>
        </w:rPr>
        <w:tab/>
        <w:t xml:space="preserve">В ходе реализации проекта "Совершенствование интонационной выразительности речи и развитие воображения у старших дошкольников в театрализованной деятельности" ребята овладели навыками грамотной и выразительной речи, правилами хорошего тона и поведения, правилами общения со сверстниками и взрослыми.  В ходе театральной деятельности дети научились передавать различные чувства, используя мимику, жесты, интонацию, стали проявлять интерес к театральному искусству, желание самостоятельно исполнять и передавать образы сказочных персонажей, взаимодействовать коллективно и согласованно, проявляя свою индивидуальность. Участники проекта  социализировались к окружающему миру. Раскрылся творческий потенциал детей с ограниченными возможностями здоровья. У ребят появились позитивные изменения, которые можно сравнивать по результатам промежуточной диагностики. </w:t>
      </w: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6217F6" w:rsidRDefault="006217F6" w:rsidP="00CF7C29">
      <w:pPr>
        <w:spacing w:line="360" w:lineRule="auto"/>
        <w:ind w:right="14"/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CB5775" w:rsidRDefault="00CB5775" w:rsidP="00CF7C29">
      <w:pPr>
        <w:spacing w:line="360" w:lineRule="auto"/>
        <w:ind w:right="14"/>
        <w:jc w:val="both"/>
        <w:rPr>
          <w:rFonts w:ascii="Times New Roman" w:hAnsi="Times New Roman" w:cs="Times New Roman"/>
          <w:i/>
          <w:color w:val="2D2A2A"/>
          <w:sz w:val="28"/>
          <w:szCs w:val="28"/>
        </w:rPr>
      </w:pPr>
      <w:r>
        <w:rPr>
          <w:rFonts w:ascii="Times New Roman" w:hAnsi="Times New Roman" w:cs="Times New Roman"/>
          <w:color w:val="2D2A2A"/>
          <w:sz w:val="28"/>
          <w:szCs w:val="28"/>
        </w:rPr>
        <w:lastRenderedPageBreak/>
        <w:t>(Приложение</w:t>
      </w:r>
      <w:r w:rsidR="00A742C1">
        <w:rPr>
          <w:rFonts w:ascii="Times New Roman" w:hAnsi="Times New Roman" w:cs="Times New Roman"/>
          <w:color w:val="2D2A2A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2D2A2A"/>
          <w:sz w:val="28"/>
          <w:szCs w:val="28"/>
        </w:rPr>
        <w:t>)</w:t>
      </w:r>
    </w:p>
    <w:p w:rsidR="00CB5775" w:rsidRPr="0073735A" w:rsidRDefault="00CB5775" w:rsidP="00CF7C29">
      <w:pPr>
        <w:spacing w:line="360" w:lineRule="auto"/>
        <w:jc w:val="both"/>
        <w:rPr>
          <w:rFonts w:ascii="Times New Roman" w:hAnsi="Times New Roman" w:cs="Times New Roman"/>
          <w:i/>
          <w:color w:val="2D2A2A"/>
          <w:sz w:val="28"/>
          <w:szCs w:val="28"/>
        </w:rPr>
      </w:pPr>
      <w:r w:rsidRPr="0073735A">
        <w:rPr>
          <w:rFonts w:ascii="Times New Roman" w:hAnsi="Times New Roman" w:cs="Times New Roman"/>
          <w:i/>
          <w:color w:val="2D2A2A"/>
          <w:sz w:val="28"/>
          <w:szCs w:val="28"/>
        </w:rPr>
        <w:t>Диагностика развития детей старшего дошкольного возраста в процессе театрализованной деятельности МКОУ Прогимназия "Зимородок" за 2014-2015 учебный год.</w:t>
      </w:r>
    </w:p>
    <w:p w:rsidR="00CB5775" w:rsidRDefault="00CB5775" w:rsidP="00CF7C29">
      <w:pPr>
        <w:spacing w:line="360" w:lineRule="auto"/>
        <w:jc w:val="both"/>
        <w:rPr>
          <w:sz w:val="28"/>
          <w:szCs w:val="28"/>
        </w:rPr>
      </w:pPr>
    </w:p>
    <w:p w:rsidR="00CB5775" w:rsidRPr="0073735A" w:rsidRDefault="00CB5775" w:rsidP="00CF7C29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024755" cy="316865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7776" w:type="dxa"/>
        <w:tblInd w:w="96" w:type="dxa"/>
        <w:tblLook w:val="0000"/>
      </w:tblPr>
      <w:tblGrid>
        <w:gridCol w:w="2259"/>
        <w:gridCol w:w="2073"/>
        <w:gridCol w:w="1980"/>
        <w:gridCol w:w="1464"/>
      </w:tblGrid>
      <w:tr w:rsidR="00CB5775" w:rsidRPr="00816315" w:rsidTr="00D70AEB">
        <w:trPr>
          <w:trHeight w:val="284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Уровни развития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Сентябрь 2014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Декабрь 2014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Май 2015</w:t>
            </w:r>
          </w:p>
        </w:tc>
      </w:tr>
      <w:tr w:rsidR="00CB5775" w:rsidRPr="00816315" w:rsidTr="00D70AEB">
        <w:trPr>
          <w:trHeight w:val="284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низкий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18%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5%</w:t>
            </w:r>
          </w:p>
        </w:tc>
      </w:tr>
      <w:tr w:rsidR="00CB5775" w:rsidRPr="00816315" w:rsidTr="00D70AEB">
        <w:trPr>
          <w:trHeight w:val="284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средний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46%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34%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18%</w:t>
            </w:r>
          </w:p>
        </w:tc>
      </w:tr>
      <w:tr w:rsidR="00CB5775" w:rsidRPr="00816315" w:rsidTr="00D70AEB">
        <w:trPr>
          <w:trHeight w:val="284"/>
        </w:trPr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высокий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14%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48%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79%</w:t>
            </w:r>
          </w:p>
        </w:tc>
      </w:tr>
    </w:tbl>
    <w:p w:rsidR="00CB5775" w:rsidRPr="00C228A9" w:rsidRDefault="00CB5775" w:rsidP="00CF7C29">
      <w:pPr>
        <w:jc w:val="both"/>
        <w:rPr>
          <w:i/>
          <w:color w:val="000000"/>
        </w:rPr>
      </w:pPr>
    </w:p>
    <w:p w:rsidR="00CB5775" w:rsidRDefault="00CB5775" w:rsidP="00CF7C29">
      <w:pPr>
        <w:jc w:val="both"/>
        <w:rPr>
          <w:sz w:val="28"/>
          <w:szCs w:val="28"/>
        </w:rPr>
      </w:pPr>
    </w:p>
    <w:p w:rsidR="00CB5775" w:rsidRPr="00816315" w:rsidRDefault="00CB5775" w:rsidP="00CF7C29">
      <w:pPr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 w:rsidRPr="0073735A">
        <w:rPr>
          <w:rFonts w:ascii="Times New Roman" w:hAnsi="Times New Roman" w:cs="Times New Roman"/>
          <w:i/>
          <w:color w:val="2D2A2A"/>
          <w:sz w:val="28"/>
          <w:szCs w:val="28"/>
        </w:rPr>
        <w:t>Диагностика речевой подготовки детей старшего дошкольного возраста МКОУ Прогимназия "Зимородок" за 2014-2015 учебный год</w:t>
      </w:r>
      <w:r w:rsidRPr="00816315">
        <w:rPr>
          <w:rFonts w:ascii="Times New Roman" w:hAnsi="Times New Roman" w:cs="Times New Roman"/>
          <w:color w:val="2D2A2A"/>
          <w:sz w:val="28"/>
          <w:szCs w:val="28"/>
        </w:rPr>
        <w:t>.</w:t>
      </w:r>
    </w:p>
    <w:p w:rsidR="00CB5775" w:rsidRDefault="00CB5775" w:rsidP="00CF7C2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noProof/>
          <w:color w:val="2D2A2A"/>
          <w:sz w:val="28"/>
          <w:szCs w:val="28"/>
          <w:lang w:eastAsia="ru-RU" w:bidi="ar-SA"/>
        </w:rPr>
        <w:drawing>
          <wp:inline distT="0" distB="0" distL="0" distR="0">
            <wp:extent cx="4273550" cy="268859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B5775" w:rsidRDefault="00CB5775" w:rsidP="00CF7C29">
      <w:pPr>
        <w:jc w:val="both"/>
        <w:rPr>
          <w:rFonts w:ascii="Times New Roman" w:hAnsi="Times New Roman"/>
          <w:sz w:val="28"/>
          <w:szCs w:val="28"/>
        </w:rPr>
      </w:pPr>
    </w:p>
    <w:p w:rsidR="00CB5775" w:rsidRPr="00312562" w:rsidRDefault="00CB5775" w:rsidP="00CF7C29">
      <w:pPr>
        <w:jc w:val="both"/>
        <w:rPr>
          <w:rFonts w:ascii="Times New Roman" w:hAnsi="Times New Roman"/>
          <w:sz w:val="28"/>
          <w:szCs w:val="28"/>
        </w:rPr>
      </w:pPr>
    </w:p>
    <w:p w:rsidR="00CB5775" w:rsidRDefault="00CB5775" w:rsidP="00CF7C29">
      <w:pPr>
        <w:jc w:val="both"/>
        <w:rPr>
          <w:sz w:val="28"/>
          <w:szCs w:val="28"/>
        </w:rPr>
      </w:pPr>
    </w:p>
    <w:tbl>
      <w:tblPr>
        <w:tblW w:w="73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6"/>
        <w:gridCol w:w="1797"/>
        <w:gridCol w:w="1797"/>
        <w:gridCol w:w="1592"/>
      </w:tblGrid>
      <w:tr w:rsidR="00CB5775" w:rsidRPr="00816315" w:rsidTr="00D70AEB">
        <w:trPr>
          <w:trHeight w:val="228"/>
        </w:trPr>
        <w:tc>
          <w:tcPr>
            <w:tcW w:w="2206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Уровни развития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Сентябрь 2014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Декабрь 2014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Май </w:t>
            </w:r>
          </w:p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2015</w:t>
            </w:r>
          </w:p>
        </w:tc>
      </w:tr>
      <w:tr w:rsidR="00CB5775" w:rsidRPr="00816315" w:rsidTr="00D70AEB">
        <w:trPr>
          <w:trHeight w:val="228"/>
        </w:trPr>
        <w:tc>
          <w:tcPr>
            <w:tcW w:w="2206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низкий 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40%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36%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26%</w:t>
            </w:r>
          </w:p>
        </w:tc>
      </w:tr>
      <w:tr w:rsidR="00CB5775" w:rsidRPr="00816315" w:rsidTr="00D70AEB">
        <w:trPr>
          <w:trHeight w:val="228"/>
        </w:trPr>
        <w:tc>
          <w:tcPr>
            <w:tcW w:w="2206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 xml:space="preserve">средний 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50%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52%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48%</w:t>
            </w:r>
          </w:p>
        </w:tc>
      </w:tr>
      <w:tr w:rsidR="00CB5775" w:rsidRPr="00816315" w:rsidTr="00D70AEB">
        <w:trPr>
          <w:trHeight w:val="228"/>
        </w:trPr>
        <w:tc>
          <w:tcPr>
            <w:tcW w:w="2206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высокий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10%</w:t>
            </w:r>
          </w:p>
        </w:tc>
        <w:tc>
          <w:tcPr>
            <w:tcW w:w="1797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12%</w:t>
            </w:r>
          </w:p>
        </w:tc>
        <w:tc>
          <w:tcPr>
            <w:tcW w:w="1592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26%</w:t>
            </w:r>
          </w:p>
        </w:tc>
      </w:tr>
    </w:tbl>
    <w:p w:rsidR="00CB5775" w:rsidRPr="00816315" w:rsidRDefault="00CB5775" w:rsidP="00CF7C29">
      <w:pPr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CB5775" w:rsidRDefault="00CB5775" w:rsidP="00CF7C29">
      <w:pPr>
        <w:jc w:val="both"/>
        <w:rPr>
          <w:sz w:val="28"/>
          <w:szCs w:val="28"/>
        </w:rPr>
      </w:pPr>
    </w:p>
    <w:p w:rsidR="00CB5775" w:rsidRPr="00DA2C45" w:rsidRDefault="00CB5775" w:rsidP="00CF7C29">
      <w:pPr>
        <w:jc w:val="both"/>
        <w:rPr>
          <w:rFonts w:ascii="Times New Roman" w:hAnsi="Times New Roman" w:cs="Times New Roman"/>
          <w:i/>
          <w:color w:val="2D2A2A"/>
          <w:sz w:val="28"/>
          <w:szCs w:val="28"/>
        </w:rPr>
      </w:pPr>
      <w:r w:rsidRPr="00DA2C45">
        <w:rPr>
          <w:rFonts w:ascii="Times New Roman" w:hAnsi="Times New Roman" w:cs="Times New Roman"/>
          <w:i/>
          <w:color w:val="2D2A2A"/>
          <w:sz w:val="28"/>
          <w:szCs w:val="28"/>
        </w:rPr>
        <w:t>Диагностика развития сюжетно ролевой игры  детей старшего дошкольного возраста МКОУ Прогимназия "Зимородок" за 2014-2015 учебный год.</w:t>
      </w:r>
    </w:p>
    <w:p w:rsidR="00CB5775" w:rsidRPr="00816315" w:rsidRDefault="00CB5775" w:rsidP="00CF7C29">
      <w:pPr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p w:rsidR="00CB5775" w:rsidRPr="00816315" w:rsidRDefault="00CB5775" w:rsidP="00CF7C29">
      <w:pPr>
        <w:jc w:val="both"/>
        <w:rPr>
          <w:rFonts w:ascii="Times New Roman" w:hAnsi="Times New Roman" w:cs="Times New Roman"/>
          <w:color w:val="2D2A2A"/>
          <w:sz w:val="28"/>
          <w:szCs w:val="28"/>
        </w:rPr>
      </w:pPr>
      <w:r>
        <w:rPr>
          <w:rFonts w:ascii="Times New Roman" w:hAnsi="Times New Roman" w:cs="Times New Roman"/>
          <w:noProof/>
          <w:color w:val="2D2A2A"/>
          <w:sz w:val="28"/>
          <w:szCs w:val="28"/>
          <w:lang w:eastAsia="ru-RU" w:bidi="ar-SA"/>
        </w:rPr>
        <w:drawing>
          <wp:inline distT="0" distB="0" distL="0" distR="0">
            <wp:extent cx="4273550" cy="235394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5775" w:rsidRDefault="00CB5775" w:rsidP="00CF7C29">
      <w:pPr>
        <w:tabs>
          <w:tab w:val="left" w:pos="53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5775" w:rsidRPr="00816315" w:rsidRDefault="00CB5775" w:rsidP="00CF7C29">
      <w:pPr>
        <w:tabs>
          <w:tab w:val="left" w:pos="5364"/>
        </w:tabs>
        <w:jc w:val="both"/>
        <w:rPr>
          <w:rFonts w:ascii="Times New Roman" w:hAnsi="Times New Roman" w:cs="Times New Roman"/>
          <w:color w:val="2D2A2A"/>
          <w:sz w:val="28"/>
          <w:szCs w:val="28"/>
        </w:rPr>
      </w:pPr>
    </w:p>
    <w:tbl>
      <w:tblPr>
        <w:tblW w:w="776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1"/>
        <w:gridCol w:w="1898"/>
        <w:gridCol w:w="1890"/>
        <w:gridCol w:w="1890"/>
      </w:tblGrid>
      <w:tr w:rsidR="00CB5775" w:rsidRPr="00816315" w:rsidTr="00D70AEB">
        <w:trPr>
          <w:trHeight w:val="271"/>
        </w:trPr>
        <w:tc>
          <w:tcPr>
            <w:tcW w:w="2091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Уровни развития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Сентябрь2014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Декабрь 2014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Май 2015</w:t>
            </w:r>
          </w:p>
        </w:tc>
      </w:tr>
      <w:tr w:rsidR="00CB5775" w:rsidRPr="00816315" w:rsidTr="00D70AEB">
        <w:trPr>
          <w:trHeight w:val="271"/>
        </w:trPr>
        <w:tc>
          <w:tcPr>
            <w:tcW w:w="2091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низкий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40%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27%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10%</w:t>
            </w:r>
          </w:p>
        </w:tc>
      </w:tr>
      <w:tr w:rsidR="00CB5775" w:rsidRPr="00816315" w:rsidTr="00D70AEB">
        <w:trPr>
          <w:trHeight w:val="271"/>
        </w:trPr>
        <w:tc>
          <w:tcPr>
            <w:tcW w:w="2091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средний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45%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51%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42%</w:t>
            </w:r>
          </w:p>
        </w:tc>
      </w:tr>
      <w:tr w:rsidR="00CB5775" w:rsidRPr="00816315" w:rsidTr="00D70AEB">
        <w:trPr>
          <w:trHeight w:val="271"/>
        </w:trPr>
        <w:tc>
          <w:tcPr>
            <w:tcW w:w="2091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высокий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15%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28%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CB5775" w:rsidRPr="00816315" w:rsidRDefault="00CB5775" w:rsidP="00CF7C29">
            <w:pPr>
              <w:jc w:val="both"/>
              <w:rPr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816315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48%</w:t>
            </w:r>
          </w:p>
        </w:tc>
      </w:tr>
    </w:tbl>
    <w:p w:rsidR="00DE0AD8" w:rsidRDefault="00DE0AD8" w:rsidP="00CF7C29">
      <w:pPr>
        <w:jc w:val="both"/>
      </w:pPr>
    </w:p>
    <w:sectPr w:rsidR="00DE0AD8" w:rsidSect="00DE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714" w:firstLine="0"/>
      </w:pPr>
      <w:rPr>
        <w:rFonts w:ascii="Symbol" w:hAnsi="Symbol" w:cs="Symbol"/>
      </w:rPr>
    </w:lvl>
    <w:lvl w:ilvl="1">
      <w:start w:val="1"/>
      <w:numFmt w:val="decimal"/>
      <w:lvlText w:val=".%2"/>
      <w:lvlJc w:val="left"/>
      <w:pPr>
        <w:tabs>
          <w:tab w:val="num" w:pos="1794"/>
        </w:tabs>
        <w:ind w:left="179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.%3"/>
      <w:lvlJc w:val="left"/>
      <w:pPr>
        <w:tabs>
          <w:tab w:val="num" w:pos="2154"/>
        </w:tabs>
        <w:ind w:left="2154" w:hanging="360"/>
      </w:pPr>
    </w:lvl>
    <w:lvl w:ilvl="3">
      <w:start w:val="1"/>
      <w:numFmt w:val="decimal"/>
      <w:lvlText w:val=".%4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.%5"/>
      <w:lvlJc w:val="left"/>
      <w:pPr>
        <w:tabs>
          <w:tab w:val="num" w:pos="2874"/>
        </w:tabs>
        <w:ind w:left="2874" w:hanging="360"/>
      </w:pPr>
    </w:lvl>
    <w:lvl w:ilvl="5">
      <w:start w:val="1"/>
      <w:numFmt w:val="decimal"/>
      <w:lvlText w:val=".%6"/>
      <w:lvlJc w:val="left"/>
      <w:pPr>
        <w:tabs>
          <w:tab w:val="num" w:pos="3234"/>
        </w:tabs>
        <w:ind w:left="3234" w:hanging="360"/>
      </w:pPr>
    </w:lvl>
    <w:lvl w:ilvl="6">
      <w:start w:val="1"/>
      <w:numFmt w:val="decimal"/>
      <w:lvlText w:val=".%7"/>
      <w:lvlJc w:val="left"/>
      <w:pPr>
        <w:tabs>
          <w:tab w:val="num" w:pos="3594"/>
        </w:tabs>
        <w:ind w:left="3594" w:hanging="360"/>
      </w:pPr>
    </w:lvl>
    <w:lvl w:ilvl="7">
      <w:start w:val="1"/>
      <w:numFmt w:val="decimal"/>
      <w:lvlText w:val=".%8"/>
      <w:lvlJc w:val="left"/>
      <w:pPr>
        <w:tabs>
          <w:tab w:val="num" w:pos="3954"/>
        </w:tabs>
        <w:ind w:left="3954" w:hanging="360"/>
      </w:pPr>
    </w:lvl>
    <w:lvl w:ilvl="8">
      <w:start w:val="1"/>
      <w:numFmt w:val="decimal"/>
      <w:lvlText w:val=".%9"/>
      <w:lvlJc w:val="left"/>
      <w:pPr>
        <w:tabs>
          <w:tab w:val="num" w:pos="4314"/>
        </w:tabs>
        <w:ind w:left="431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775"/>
    <w:rsid w:val="004C19F6"/>
    <w:rsid w:val="006217F6"/>
    <w:rsid w:val="00862AFF"/>
    <w:rsid w:val="009166DC"/>
    <w:rsid w:val="00970B4D"/>
    <w:rsid w:val="00A742C1"/>
    <w:rsid w:val="00AC4149"/>
    <w:rsid w:val="00B86919"/>
    <w:rsid w:val="00BD6F3F"/>
    <w:rsid w:val="00CB5775"/>
    <w:rsid w:val="00CF7C29"/>
    <w:rsid w:val="00DE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7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775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B5775"/>
    <w:rPr>
      <w:rFonts w:ascii="Tahoma" w:eastAsia="Calibr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100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5588235294117654E-2"/>
          <c:y val="2.6627218934911257E-2"/>
          <c:w val="0.6213235294117645"/>
          <c:h val="0.7041420118343196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сен.14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0.46</c:v>
                </c:pt>
                <c:pt idx="2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дек.14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0.1800000000000001</c:v>
                </c:pt>
                <c:pt idx="1">
                  <c:v>0.34000000000000008</c:v>
                </c:pt>
                <c:pt idx="2">
                  <c:v>0.4800000000000002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май.15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5.0000000000000017E-2</c:v>
                </c:pt>
                <c:pt idx="1">
                  <c:v>0.1800000000000001</c:v>
                </c:pt>
                <c:pt idx="2">
                  <c:v>0.79</c:v>
                </c:pt>
              </c:numCache>
            </c:numRef>
          </c:val>
        </c:ser>
        <c:shape val="cone"/>
        <c:axId val="93121536"/>
        <c:axId val="95757824"/>
        <c:axId val="49764992"/>
      </c:bar3DChart>
      <c:catAx>
        <c:axId val="93121536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75782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9575782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3121536"/>
        <c:crosses val="autoZero"/>
        <c:crossBetween val="between"/>
      </c:valAx>
      <c:serAx>
        <c:axId val="49764992"/>
        <c:scaling>
          <c:orientation val="minMax"/>
        </c:scaling>
        <c:axPos val="b"/>
        <c:numFmt formatCode="mmm/yy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5757824"/>
        <c:crosses val="autoZero"/>
        <c:tickLblSkip val="1"/>
        <c:tickMarkSkip val="1"/>
      </c:ser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84742647058823561"/>
          <c:y val="0.38757396449704196"/>
          <c:w val="0.14522058823529421"/>
          <c:h val="0.22485207100591706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dispBlanksAs val="gap"/>
  </c:chart>
  <c:spPr>
    <a:noFill/>
    <a:ln>
      <a:noFill/>
    </a:ln>
  </c:spPr>
  <c:txPr>
    <a:bodyPr/>
    <a:lstStyle/>
    <a:p>
      <a:pPr>
        <a:defRPr sz="11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100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826086956521729E-2"/>
          <c:y val="3.1578947368421081E-2"/>
          <c:w val="0.60652173913043472"/>
          <c:h val="0.6877192982456139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сен.14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0.5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дек.14</c:v>
                </c:pt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0.36000000000000021</c:v>
                </c:pt>
                <c:pt idx="1">
                  <c:v>0.52</c:v>
                </c:pt>
                <c:pt idx="2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май.15</c:v>
                </c:pt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0.26</c:v>
                </c:pt>
                <c:pt idx="1">
                  <c:v>0.4800000000000002</c:v>
                </c:pt>
                <c:pt idx="2">
                  <c:v>0.26</c:v>
                </c:pt>
              </c:numCache>
            </c:numRef>
          </c:val>
        </c:ser>
        <c:shape val="cone"/>
        <c:axId val="96046080"/>
        <c:axId val="96199424"/>
        <c:axId val="106058624"/>
      </c:bar3DChart>
      <c:catAx>
        <c:axId val="9604608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199424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9619942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046080"/>
        <c:crosses val="autoZero"/>
        <c:crossBetween val="between"/>
      </c:valAx>
      <c:serAx>
        <c:axId val="106058624"/>
        <c:scaling>
          <c:orientation val="minMax"/>
        </c:scaling>
        <c:axPos val="b"/>
        <c:numFmt formatCode="mmm/yy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199424"/>
        <c:crosses val="autoZero"/>
        <c:tickLblSkip val="1"/>
        <c:tickMarkSkip val="1"/>
      </c:ser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84130434782608687"/>
          <c:y val="0.37894736842105281"/>
          <c:w val="0.15000000000000013"/>
          <c:h val="0.24561403508771937"/>
        </c:manualLayout>
      </c:layout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dispBlanksAs val="gap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100"/>
      <c:depthPercent val="100"/>
      <c:perspective val="30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826086956521729E-2"/>
          <c:y val="3.6290322580645205E-2"/>
          <c:w val="0.6043478260869567"/>
          <c:h val="0.65322580645161388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сен.14</c:v>
                </c:pt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0.45</c:v>
                </c:pt>
                <c:pt idx="2">
                  <c:v>0.15000000000000011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дек.14</c:v>
                </c:pt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0.27</c:v>
                </c:pt>
                <c:pt idx="1">
                  <c:v>0.51</c:v>
                </c:pt>
                <c:pt idx="2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май.15</c:v>
                </c:pt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0.1</c:v>
                </c:pt>
                <c:pt idx="1">
                  <c:v>0.42000000000000021</c:v>
                </c:pt>
                <c:pt idx="2">
                  <c:v>0.4800000000000002</c:v>
                </c:pt>
              </c:numCache>
            </c:numRef>
          </c:val>
        </c:ser>
        <c:shape val="cone"/>
        <c:axId val="96581120"/>
        <c:axId val="96583040"/>
        <c:axId val="76733504"/>
      </c:bar3DChart>
      <c:catAx>
        <c:axId val="9658112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583040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9658304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581120"/>
        <c:crosses val="autoZero"/>
        <c:crossBetween val="between"/>
      </c:valAx>
      <c:serAx>
        <c:axId val="76733504"/>
        <c:scaling>
          <c:orientation val="minMax"/>
        </c:scaling>
        <c:axPos val="b"/>
        <c:numFmt formatCode="mmm/yy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583040"/>
        <c:crosses val="autoZero"/>
        <c:tickLblSkip val="2"/>
        <c:tickMarkSkip val="1"/>
      </c:serAx>
      <c:spPr>
        <a:noFill/>
        <a:ln w="25381">
          <a:noFill/>
        </a:ln>
      </c:spPr>
    </c:plotArea>
    <c:legend>
      <c:legendPos val="r"/>
      <c:layout>
        <c:manualLayout>
          <c:xMode val="edge"/>
          <c:yMode val="edge"/>
          <c:x val="0.84130434782608687"/>
          <c:y val="0.35887096774193594"/>
          <c:w val="0.15000000000000013"/>
          <c:h val="0.28225806451612878"/>
        </c:manualLayout>
      </c:layout>
      <c:spPr>
        <a:solidFill>
          <a:srgbClr val="FFFFFF"/>
        </a:solidFill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dispBlanksAs val="gap"/>
  </c:chart>
  <c:spPr>
    <a:noFill/>
    <a:ln>
      <a:noFill/>
    </a:ln>
  </c:spPr>
  <c:txPr>
    <a:bodyPr/>
    <a:lstStyle/>
    <a:p>
      <a:pPr>
        <a:defRPr sz="10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54600-B7BB-4D3B-8229-39094416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cp:lastPrinted>2016-01-28T15:43:00Z</cp:lastPrinted>
  <dcterms:created xsi:type="dcterms:W3CDTF">2016-10-24T12:41:00Z</dcterms:created>
  <dcterms:modified xsi:type="dcterms:W3CDTF">2016-10-24T13:07:00Z</dcterms:modified>
</cp:coreProperties>
</file>