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6.jpeg" ContentType="image/jpeg"/>
  <Override PartName="/word/media/image15.jpeg" ContentType="image/jpeg"/>
  <Override PartName="/word/media/image14.jpeg" ContentType="image/jpeg"/>
  <Override PartName="/word/media/image12.jpeg" ContentType="image/jpeg"/>
  <Override PartName="/word/media/image11.jpeg" ContentType="image/jpeg"/>
  <Override PartName="/word/media/image4.png" ContentType="image/png"/>
  <Override PartName="/word/media/image6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media/image5.jpeg" ContentType="image/jpeg"/>
  <Override PartName="/word/media/image7.jpeg" ContentType="image/jpeg"/>
  <Override PartName="/word/media/image8.png" ContentType="image/png"/>
  <Override PartName="/word/media/image13.jpeg" ContentType="image/jpeg"/>
  <Override PartName="/word/media/image9.png" ContentType="image/png"/>
  <Override PartName="/word/media/image10.jpeg" ContentType="image/jpeg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numPr>
          <w:ilvl w:val="0"/>
          <w:numId w:val="0"/>
        </w:numPr>
        <w:spacing w:lineRule="auto" w:line="360" w:before="0" w:after="0"/>
        <w:jc w:val="center"/>
        <w:outlineLvl w:val="1"/>
        <w:rPr/>
      </w:pPr>
      <w:r>
        <w:rPr>
          <w:rFonts w:eastAsia="Times New Roman" w:cs="Times New Roman" w:ascii="Times New Roman" w:hAnsi="Times New Roman"/>
          <w:b/>
          <w:spacing w:val="10"/>
          <w:sz w:val="28"/>
          <w:szCs w:val="28"/>
          <w:lang w:eastAsia="ru-RU"/>
        </w:rPr>
        <w:t xml:space="preserve">Муниципальное бюджетное дошкольное образовательное учреждение «Детский сад № </w:t>
      </w:r>
      <w:r>
        <w:rPr>
          <w:rFonts w:eastAsia="Times New Roman" w:cs="Times New Roman" w:ascii="Times New Roman" w:hAnsi="Times New Roman"/>
          <w:b/>
          <w:spacing w:val="10"/>
          <w:sz w:val="28"/>
          <w:szCs w:val="28"/>
          <w:lang w:eastAsia="ru-RU"/>
        </w:rPr>
        <w:t>83</w:t>
      </w:r>
      <w:r>
        <w:rPr>
          <w:rFonts w:eastAsia="Times New Roman" w:cs="Times New Roman" w:ascii="Times New Roman" w:hAnsi="Times New Roman"/>
          <w:b/>
          <w:spacing w:val="10"/>
          <w:sz w:val="28"/>
          <w:szCs w:val="28"/>
          <w:lang w:eastAsia="ru-RU"/>
        </w:rPr>
        <w:t>»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44"/>
          <w:szCs w:val="44"/>
          <w:lang w:eastAsia="ru-RU"/>
        </w:rPr>
      </w:pPr>
      <w:r>
        <w:rPr>
          <w:rFonts w:eastAsia="Times New Roman" w:cs="Times New Roman" w:ascii="Times New Roman" w:hAnsi="Times New Roman"/>
          <w:b/>
          <w:sz w:val="44"/>
          <w:szCs w:val="4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44"/>
          <w:szCs w:val="44"/>
          <w:lang w:eastAsia="ru-RU"/>
        </w:rPr>
      </w:pPr>
      <w:r>
        <w:rPr>
          <w:rFonts w:eastAsia="Times New Roman" w:cs="Times New Roman" w:ascii="Times New Roman" w:hAnsi="Times New Roman"/>
          <w:b/>
          <w:sz w:val="44"/>
          <w:szCs w:val="4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44"/>
          <w:szCs w:val="44"/>
          <w:lang w:eastAsia="ru-RU"/>
        </w:rPr>
      </w:pPr>
      <w:r>
        <w:rPr>
          <w:rFonts w:eastAsia="Times New Roman" w:cs="Times New Roman" w:ascii="Times New Roman" w:hAnsi="Times New Roman"/>
          <w:b/>
          <w:sz w:val="44"/>
          <w:szCs w:val="4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44"/>
          <w:szCs w:val="44"/>
          <w:lang w:eastAsia="ru-RU"/>
        </w:rPr>
      </w:pPr>
      <w:r>
        <w:rPr>
          <w:rFonts w:eastAsia="Times New Roman" w:cs="Times New Roman" w:ascii="Times New Roman" w:hAnsi="Times New Roman"/>
          <w:b/>
          <w:sz w:val="44"/>
          <w:szCs w:val="4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44"/>
          <w:szCs w:val="44"/>
          <w:lang w:eastAsia="ru-RU"/>
        </w:rPr>
      </w:pPr>
      <w:r>
        <w:rPr>
          <w:rFonts w:eastAsia="Times New Roman" w:cs="Times New Roman" w:ascii="Times New Roman" w:hAnsi="Times New Roman"/>
          <w:b/>
          <w:sz w:val="44"/>
          <w:szCs w:val="4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44"/>
          <w:szCs w:val="44"/>
          <w:lang w:eastAsia="ru-RU"/>
        </w:rPr>
      </w:pPr>
      <w:r>
        <w:rPr>
          <w:rFonts w:eastAsia="Times New Roman" w:cs="Times New Roman" w:ascii="Times New Roman" w:hAnsi="Times New Roman"/>
          <w:b/>
          <w:sz w:val="44"/>
          <w:szCs w:val="44"/>
          <w:lang w:eastAsia="ru-RU"/>
        </w:rPr>
        <w:t>Проект «Волшебные камешки: подготовка детей к школе интересно и увлекательно»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b/>
          <w:sz w:val="44"/>
          <w:szCs w:val="44"/>
          <w:lang w:eastAsia="ru-RU"/>
        </w:rPr>
        <w:t>для детей старшей, подготовительной группы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36"/>
          <w:szCs w:val="36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b/>
          <w:sz w:val="36"/>
          <w:szCs w:val="36"/>
          <w:lang w:eastAsia="ru-RU"/>
        </w:rPr>
        <w:t>(Образовательная область «Познавательное развитие»)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44"/>
          <w:szCs w:val="44"/>
          <w:lang w:eastAsia="ru-RU"/>
        </w:rPr>
      </w:pPr>
      <w:r>
        <w:rPr>
          <w:rFonts w:eastAsia="Times New Roman" w:cs="Times New Roman" w:ascii="Times New Roman" w:hAnsi="Times New Roman"/>
          <w:b/>
          <w:sz w:val="44"/>
          <w:szCs w:val="44"/>
          <w:lang w:eastAsia="ru-RU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jc w:val="right"/>
        <w:outlineLvl w:val="1"/>
        <w:rPr>
          <w:rFonts w:ascii="Times New Roman" w:hAnsi="Times New Roman" w:eastAsia="Times New Roman" w:cs="Times New Roman"/>
          <w:b/>
          <w:b/>
          <w:spacing w:val="10"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b/>
          <w:spacing w:val="10"/>
          <w:sz w:val="32"/>
          <w:szCs w:val="32"/>
          <w:lang w:eastAsia="ru-RU"/>
        </w:rPr>
        <w:t>Педагог: Печерица Н. А.,</w:t>
      </w:r>
    </w:p>
    <w:p>
      <w:pPr>
        <w:pStyle w:val="Normal"/>
        <w:spacing w:lineRule="auto" w:line="240" w:before="0" w:after="0"/>
        <w:jc w:val="center"/>
        <w:rPr/>
      </w:pPr>
      <w:r>
        <w:rPr>
          <w:rFonts w:eastAsia="Times New Roman" w:cs="Times New Roman" w:ascii="Times New Roman" w:hAnsi="Times New Roman"/>
          <w:b/>
          <w:spacing w:val="10"/>
          <w:sz w:val="32"/>
          <w:szCs w:val="32"/>
          <w:lang w:eastAsia="ru-RU"/>
        </w:rPr>
        <w:t xml:space="preserve">                                                                            </w:t>
      </w:r>
      <w:r>
        <w:rPr>
          <w:rFonts w:eastAsia="Times New Roman" w:cs="Times New Roman" w:ascii="Times New Roman" w:hAnsi="Times New Roman"/>
          <w:b/>
          <w:spacing w:val="10"/>
          <w:sz w:val="32"/>
          <w:szCs w:val="32"/>
          <w:lang w:eastAsia="ru-RU"/>
        </w:rPr>
        <w:t>Попова Т.Н.</w:t>
      </w:r>
    </w:p>
    <w:p>
      <w:pPr>
        <w:pStyle w:val="Normal"/>
        <w:jc w:val="center"/>
        <w:rPr/>
      </w:pPr>
      <w:r>
        <w:rPr/>
        <w:drawing>
          <wp:inline distT="0" distB="0" distL="0" distR="6350">
            <wp:extent cx="4242435" cy="3491865"/>
            <wp:effectExtent l="0" t="0" r="0" b="0"/>
            <wp:docPr id="1" name="Рисунок 1" descr="C:\Users\Александр\Desktop\марлбс\hello_html_m532804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Александр\Desktop\марлбс\hello_html_m532804a0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Череповец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2021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Содержание:</w:t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8222"/>
        <w:gridCol w:w="1348"/>
      </w:tblGrid>
      <w:tr>
        <w:trPr/>
        <w:tc>
          <w:tcPr>
            <w:tcW w:w="822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 xml:space="preserve">Содержание проекта. </w:t>
            </w:r>
          </w:p>
        </w:tc>
        <w:tc>
          <w:tcPr>
            <w:tcW w:w="134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en-US" w:eastAsia="ru-RU"/>
              </w:rPr>
              <w:t>2</w:t>
            </w:r>
          </w:p>
        </w:tc>
      </w:tr>
      <w:tr>
        <w:trPr/>
        <w:tc>
          <w:tcPr>
            <w:tcW w:w="822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 xml:space="preserve">Тип проекта </w:t>
            </w:r>
          </w:p>
        </w:tc>
        <w:tc>
          <w:tcPr>
            <w:tcW w:w="134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en-US" w:eastAsia="ru-RU"/>
              </w:rPr>
              <w:t>3</w:t>
            </w:r>
          </w:p>
        </w:tc>
      </w:tr>
      <w:tr>
        <w:trPr/>
        <w:tc>
          <w:tcPr>
            <w:tcW w:w="822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Актуальность проекта</w:t>
            </w:r>
          </w:p>
        </w:tc>
        <w:tc>
          <w:tcPr>
            <w:tcW w:w="134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>
        <w:trPr/>
        <w:tc>
          <w:tcPr>
            <w:tcW w:w="822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Цель проекта</w:t>
            </w:r>
          </w:p>
        </w:tc>
        <w:tc>
          <w:tcPr>
            <w:tcW w:w="134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>
        <w:trPr/>
        <w:tc>
          <w:tcPr>
            <w:tcW w:w="822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Задачи проекта</w:t>
            </w:r>
          </w:p>
        </w:tc>
        <w:tc>
          <w:tcPr>
            <w:tcW w:w="134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>
        <w:trPr/>
        <w:tc>
          <w:tcPr>
            <w:tcW w:w="822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Степень новизны</w:t>
            </w:r>
          </w:p>
        </w:tc>
        <w:tc>
          <w:tcPr>
            <w:tcW w:w="134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>
        <w:trPr/>
        <w:tc>
          <w:tcPr>
            <w:tcW w:w="822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Этапы и сроки реализации</w:t>
            </w:r>
          </w:p>
        </w:tc>
        <w:tc>
          <w:tcPr>
            <w:tcW w:w="134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en-US" w:eastAsia="ru-RU"/>
              </w:rPr>
              <w:t>6</w:t>
            </w:r>
          </w:p>
        </w:tc>
      </w:tr>
      <w:tr>
        <w:trPr/>
        <w:tc>
          <w:tcPr>
            <w:tcW w:w="822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 xml:space="preserve">Участники </w:t>
            </w:r>
          </w:p>
        </w:tc>
        <w:tc>
          <w:tcPr>
            <w:tcW w:w="134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en-US" w:eastAsia="ru-RU"/>
              </w:rPr>
              <w:t>6</w:t>
            </w:r>
          </w:p>
        </w:tc>
      </w:tr>
      <w:tr>
        <w:trPr/>
        <w:tc>
          <w:tcPr>
            <w:tcW w:w="822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Условия реализации проекта</w:t>
            </w:r>
          </w:p>
        </w:tc>
        <w:tc>
          <w:tcPr>
            <w:tcW w:w="134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en-US" w:eastAsia="ru-RU"/>
              </w:rPr>
              <w:t xml:space="preserve">6 </w:t>
            </w:r>
          </w:p>
        </w:tc>
      </w:tr>
      <w:tr>
        <w:trPr/>
        <w:tc>
          <w:tcPr>
            <w:tcW w:w="822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Практическая значимость. План проведения</w:t>
            </w:r>
          </w:p>
        </w:tc>
        <w:tc>
          <w:tcPr>
            <w:tcW w:w="134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</w:tr>
      <w:tr>
        <w:trPr/>
        <w:tc>
          <w:tcPr>
            <w:tcW w:w="822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 xml:space="preserve">Предполагаемый  результат </w:t>
            </w:r>
          </w:p>
        </w:tc>
        <w:tc>
          <w:tcPr>
            <w:tcW w:w="134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</w:tr>
      <w:tr>
        <w:trPr/>
        <w:tc>
          <w:tcPr>
            <w:tcW w:w="822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Список литературы.</w:t>
            </w:r>
          </w:p>
        </w:tc>
        <w:tc>
          <w:tcPr>
            <w:tcW w:w="134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</w:tr>
      <w:tr>
        <w:trPr/>
        <w:tc>
          <w:tcPr>
            <w:tcW w:w="822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 xml:space="preserve">Приложения с фотоотчётом </w:t>
            </w:r>
          </w:p>
        </w:tc>
        <w:tc>
          <w:tcPr>
            <w:tcW w:w="134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10- 20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 w:themeColor="text1"/>
          <w:sz w:val="28"/>
          <w:szCs w:val="28"/>
          <w:lang w:eastAsia="ru-RU"/>
        </w:rPr>
        <w:t>Тип проекта:</w:t>
      </w:r>
      <w:r>
        <w:rPr>
          <w:rFonts w:eastAsia="Times New Roman" w:cs="Times New Roman"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color w:val="000000" w:themeColor="text1"/>
          <w:sz w:val="28"/>
          <w:szCs w:val="28"/>
          <w:lang w:eastAsia="ru-RU"/>
        </w:rPr>
        <w:t>познавательный</w:t>
      </w:r>
    </w:p>
    <w:p>
      <w:pPr>
        <w:pStyle w:val="Normal"/>
        <w:spacing w:lineRule="atLeast" w:line="240" w:before="0" w:after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Актуальность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проекта: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</w:t>
      </w:r>
    </w:p>
    <w:p>
      <w:pPr>
        <w:pStyle w:val="Normal"/>
        <w:spacing w:lineRule="atLeast" w:line="240" w:before="0" w:after="0"/>
        <w:jc w:val="right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«Быть готовым к школе – не значит</w:t>
      </w:r>
    </w:p>
    <w:p>
      <w:pPr>
        <w:pStyle w:val="Normal"/>
        <w:spacing w:lineRule="atLeast" w:line="240" w:before="0" w:after="0"/>
        <w:jc w:val="right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уметь читать, писать и считать.</w:t>
      </w:r>
    </w:p>
    <w:p>
      <w:pPr>
        <w:pStyle w:val="Normal"/>
        <w:spacing w:lineRule="atLeast" w:line="240" w:before="0" w:after="0"/>
        <w:jc w:val="right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Быть готовым к школе – значит</w:t>
      </w:r>
    </w:p>
    <w:p>
      <w:pPr>
        <w:pStyle w:val="Normal"/>
        <w:spacing w:lineRule="atLeast" w:line="240" w:before="0" w:after="0"/>
        <w:jc w:val="right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быть готовым всему этому научиться».</w:t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 xml:space="preserve">     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Часто родители прибывают в некотором заблуждении по поводу подготовленности их детей к школьному обучению. Заблуждение это заключается в родительской уверенности в том, что ребёнок считается подготовленным к школе, если умеет читать, писать и считать. Между тем мало кто из родителей догадывается, что иногда, даже овладев этими умениями, ребёнок необязательно будет хорошо учиться в школе.</w:t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 xml:space="preserve">     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Наши дети все меньше и меньше играют в традиционные игры (сюжетно-ролевые, развивающие, игры с правилами, дидактические, реже занимаются конструированием, лепкой, рисованием, аппликацией. Все виды детской деятельности вытесняются компьютерными играми. Родители стремятся начать систематическое обучение своего ребенка как можно раньше, причем помимо детского сада его могут водить в спортивные секции, музыкальную школу, изостудию и т. д. Им невдомек, что такое обучение, сводящееся, как правило, к выработке навыков и умений в той или иной области, не способствует психическому развитию ребенка.</w:t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 xml:space="preserve">       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Родителям, прежде всего, необходимо понять, что надо не обучать ребёнка тому, чему будут учиться в школе, а развивать его предпосылки к обучению. Тогда позже, в процессе получения знаний, ребёнок будет способен их усваивать. К этому будет готов его мыслительный аппарат, у ребёнка появятся мотивация к обучению и контроль над своими действиями.</w:t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 xml:space="preserve">     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Часто бывает, что ребёнок хорошо считает, пишет, читает. Родители гордятся этим и при каждой удобной возможности стремятся продемонстрировать эти умения. Но при ближайшем знакомстве с таким ребёнком оказывается, что инструкцию он почти никогда не воспринимает с первого раза. Он просто не слышит, что от него требуется. При повторе он улавливает инструкцию лишь частично, а при очередной допущенной ошибке не стремиться её исправить. Такой ребёнок не способен поднять руку, чтобы обратиться к педагогу, если не понял, не расслышал задание. Как правило, в классе более двадцати учеников, и учителю бывает трудно контролировать нюансы в поведении каждого из них. Если к перечисленным проблемам добавить ещё и неумение планировать свою деятельность, неспособность подготовиться к следующему заданию, то вырисовывается портрет ребёнка, психологически  к школе не готового.</w:t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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ab/>
        <w:t>Школьное обучение в качестве необходимой предпосылки требует зрелости определённых психических функций (памяти, внимания, мышления). Если ученик имеет малый объём памяти, то усваиваться информация может не полностью. Однако память необходимо развивать, соединяя с мышлением, иначе осмысленное запоминание заменит зубрёжка. Ребёнок должен сначала понять учебный материал. Выделить в нём главное, найти закономерности, проанализировать и обобщить информацию, а уже после этого - запомнить.</w:t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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ab/>
        <w:t>У ребёнка должна быть сформирована координация работы глаз и тонких движений руки. Эта способность обеспечит ребёнку успешное выполнение заданий по переписыванию с учебника или классной доски. Нужно научить ребёнка не только штриховать, раскрашивать и рисовать, а и перерисовывать или переписывать что-то, глядя на образец.</w:t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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ab/>
        <w:t>Первоклассник должен обладать также навыками учебной деятельности: уметь идентифицировать себя с классом (реагировать, когда нет личного обращения), выделять учебную задачу, работать по словесной инструкции, строить внутренний план умственных действий. До школы у ребёнка нужно сформировать коммуникативные качества, благодаря которым он сможет найти друзей в новом коллективе: способность устанавливать и поддерживать дружеские взаимоотношения, умение слушать собеседника и эмоционально сопереживать, решать конфликтные ситуации мирным путём, участвовать в коллективных формах деятельности.</w:t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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ab/>
        <w:t>При этом от ученика требуются соблюдение общепринятых норм и правил поведения, контроль за своими поведенческими реакциями и эмоциями. У ребёнка должны быть сформированы качества, благодаря которым он сможет осуществить эффективное взаимодействие: дружелюбие, внимание, понимание чувств собеседника, активность, честность, доброта, взаимовыручка.</w:t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color w:val="000000" w:themeColor="text1"/>
          <w:sz w:val="28"/>
          <w:szCs w:val="28"/>
          <w:lang w:eastAsia="ru-RU"/>
        </w:rPr>
        <w:t xml:space="preserve">              </w:t>
      </w:r>
      <w:r>
        <w:rPr>
          <w:rFonts w:eastAsia="Times New Roman" w:cs="Times New Roman" w:ascii="Times New Roman" w:hAnsi="Times New Roman"/>
          <w:bCs/>
          <w:color w:val="000000" w:themeColor="text1"/>
          <w:sz w:val="28"/>
          <w:szCs w:val="28"/>
          <w:lang w:eastAsia="ru-RU"/>
        </w:rPr>
        <w:t xml:space="preserve">В современных условиях все более актуальной становится переориентация образовательного процесса с методов, способствующих усвоению большого объема информации, на методы, нацеленные на развитие способностей думать, анализировать, самостоятельно находить и обобщать информацию, делать выводы. </w:t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color w:val="000000" w:themeColor="text1"/>
          <w:sz w:val="28"/>
          <w:szCs w:val="28"/>
          <w:lang w:eastAsia="ru-RU"/>
        </w:rPr>
        <w:t xml:space="preserve">              </w:t>
      </w:r>
      <w:r>
        <w:rPr>
          <w:rFonts w:eastAsia="Times New Roman" w:cs="Times New Roman" w:ascii="Times New Roman" w:hAnsi="Times New Roman"/>
          <w:bCs/>
          <w:color w:val="000000" w:themeColor="text1"/>
          <w:sz w:val="28"/>
          <w:szCs w:val="28"/>
          <w:lang w:eastAsia="ru-RU"/>
        </w:rPr>
        <w:t>Предлагаем следующий подход к процессу обучения – учение через игру, когда ребенок становится именно субъектом деятельности, и активная деятельность формирует у него все необходимое для успешного обучения в школе. Мы должны не забывать что игра это ведущий вид деятельности дошкольника. И именно через неё мы будем развивает мыслительную и познавательную деятельность ребенка, самостоятельность, память, внимание, мышление, оптико-пространственнео восприятие, воображение, а также работоспособности, усидчивости и т.д, что создает неповторимую атмосферу, благоприятные условия для оптимального развития детей дошкольного возраста.</w:t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 xml:space="preserve">           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 xml:space="preserve">Камешки «Марблс» берут свое начало от развлечений древних римлян и греков. Игры с камешками «Марблс» – это физическое и умственное развитие ребенка. Многие задания, которые мы   предлагаем детям , имеют сложные формулировки.  </w:t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Несмотря на внешнюю простоту и доступность, только в области математического и познавательного развития Марблс способствует решению целого ряда задач</w:t>
      </w:r>
      <w:r>
        <w:rPr/>
        <w:t xml:space="preserve"> 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Марблс помогают организовать процесс легко, продуктивно, с большим удовольствием и пользой для ребенка.</w:t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Цель проекта: </w:t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color w:val="000000" w:themeColor="text1"/>
          <w:sz w:val="28"/>
          <w:szCs w:val="28"/>
          <w:lang w:eastAsia="ru-RU"/>
        </w:rPr>
        <w:t>повышение потенциальной возможности полноценной подготовки к школьному обучению дошкольников посредством камешков «Марблс».</w:t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FF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FF0000"/>
          <w:sz w:val="28"/>
          <w:szCs w:val="28"/>
          <w:lang w:eastAsia="ru-RU"/>
        </w:rPr>
      </w:r>
    </w:p>
    <w:p>
      <w:pPr>
        <w:pStyle w:val="Normal"/>
        <w:spacing w:lineRule="atLeast" w:line="240" w:before="0" w:after="0"/>
        <w:jc w:val="both"/>
        <w:rPr>
          <w:rFonts w:ascii="Arial" w:hAnsi="Arial" w:eastAsia="Times New Roman" w:cs="Arial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Задачи проекта: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развивать умения сравнивать, классифицировать, группировать, чередовать по признаку, анализировать;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развивают навыки порядкового и количественного счета;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развивают чувство ритма, цвета, композиции;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способствуют развитию ориентировки в пространстве, на листе бумаги;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развивают мелкую моторику рук, точность и продуктивность движений;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способствуют развитию воображения и творчества;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способствуют развитию самостоятельности и инициативности ребенка.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Степень новизны: </w:t>
      </w:r>
    </w:p>
    <w:p>
      <w:pPr>
        <w:pStyle w:val="Normal"/>
        <w:spacing w:lineRule="atLeast" w:line="240" w:beforeAutospacing="1" w:afterAutospacing="1"/>
        <w:jc w:val="both"/>
        <w:rPr>
          <w:rFonts w:ascii="Times New Roman" w:hAnsi="Times New Roman" w:eastAsia="Times New Roman" w:cs="Times New Roman"/>
          <w:b/>
          <w:b/>
          <w:bCs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 xml:space="preserve">            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Как пишет М.В. Осорина в замечательной книге «Секретный мир детства в пространстве мира взрослых», дети любят сокровища, создают свои сокровищницы.   Основную часть «сокровищ» составляют мелкие предметы, найденные ребенком на улице: бусины, значки, сломанные брошки, красивые пуговицы, предметы совсем непонятного происхождения и назначения, привлекающие внимание именно своей странностью. Обычно ребенок предпочитает общаться со своими «сокровищами» наедине, чтобы никто не мешал: рассматривает их, любуется, фантазирует. Дети воспринимают свои «сокровища» чувственно, им нравится сама плоть этих вещиц: насыщенные цвета, переливающиеся оттенками в глубине, необычная форма, особенно ее изгибы, гладкость, блеск, малый размер, позволяющий полностью спрятать предмет в кулаке. И в каждой детской  сокровищнице есть кристаллы.</w:t>
      </w:r>
      <w:r>
        <w:rPr/>
        <w:t xml:space="preserve"> 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Именно этот глубинный внутренний интерес детей к предметам подобного типа подсказал ввести в практику  работу с блестящими камешками – Марблс. Применение камешков Марблс – это нетрадиционный способ обучения. Особый дидактический материал. Идущий от потребностей ребенка. Сама суть Марблс побуждает активность и интерес ребенка. А педагог в свою очередь возвращает к материалу важному в подготовке ребенка к школе</w:t>
      </w:r>
      <w:r>
        <w:rPr>
          <w:rFonts w:eastAsia="Times New Roman" w:cs="Times New Roman" w:ascii="Times New Roman" w:hAnsi="Times New Roman"/>
          <w:bCs/>
          <w:color w:val="FF0000"/>
          <w:sz w:val="28"/>
          <w:szCs w:val="28"/>
          <w:lang w:eastAsia="ru-RU"/>
        </w:rPr>
        <w:br/>
      </w:r>
    </w:p>
    <w:p>
      <w:pPr>
        <w:pStyle w:val="Normal"/>
        <w:spacing w:lineRule="atLeast" w:line="240" w:beforeAutospacing="1" w:afterAutospacing="1"/>
        <w:jc w:val="both"/>
        <w:rPr>
          <w:rFonts w:ascii="Times New Roman" w:hAnsi="Times New Roman" w:eastAsia="Times New Roman" w:cs="Times New Roman"/>
          <w:b/>
          <w:b/>
          <w:bCs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 w:themeColor="text1"/>
          <w:sz w:val="28"/>
          <w:szCs w:val="28"/>
          <w:lang w:eastAsia="ru-RU"/>
        </w:rPr>
      </w:r>
    </w:p>
    <w:p>
      <w:pPr>
        <w:pStyle w:val="Normal"/>
        <w:spacing w:lineRule="atLeast" w:line="240" w:beforeAutospacing="1" w:afterAutospacing="1"/>
        <w:jc w:val="both"/>
        <w:rPr>
          <w:rFonts w:ascii="Times New Roman" w:hAnsi="Times New Roman" w:eastAsia="Times New Roman" w:cs="Times New Roman"/>
          <w:bCs/>
          <w:color w:val="FF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Этапы и сроки реализации: </w:t>
      </w:r>
    </w:p>
    <w:p>
      <w:pPr>
        <w:pStyle w:val="Normal"/>
        <w:spacing w:lineRule="atLeast" w:line="240" w:beforeAutospacing="1" w:afterAutospacing="1"/>
        <w:jc w:val="both"/>
        <w:rPr/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val="en-US" w:eastAsia="ru-RU"/>
        </w:rPr>
        <w:t>I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 xml:space="preserve"> этап (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 xml:space="preserve">ноябрь 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>202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>3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>)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val="en-US" w:eastAsia="ru-RU"/>
        </w:rPr>
        <w:t>II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 xml:space="preserve"> Основной этап (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>декабрь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 xml:space="preserve"> 202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>3)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</w:r>
    </w:p>
    <w:p>
      <w:pPr>
        <w:pStyle w:val="Normal"/>
        <w:spacing w:lineRule="atLeast" w:line="240" w:beforeAutospacing="1" w:afterAutospacing="1"/>
        <w:jc w:val="both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Участники</w:t>
      </w:r>
    </w:p>
    <w:p>
      <w:pPr>
        <w:pStyle w:val="Normal"/>
        <w:spacing w:lineRule="auto" w:before="0" w:after="0"/>
        <w:jc w:val="both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дети подготовительной группы воспитатели, родители.</w:t>
      </w:r>
    </w:p>
    <w:p>
      <w:pPr>
        <w:pStyle w:val="Normal"/>
        <w:spacing w:lineRule="auto" w:before="0" w:after="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 w:themeColor="text1"/>
          <w:sz w:val="28"/>
          <w:szCs w:val="28"/>
          <w:lang w:eastAsia="ru-RU"/>
        </w:rPr>
        <w:t>Условия реализации проекта:</w:t>
      </w:r>
      <w:r>
        <w:rPr>
          <w:rFonts w:eastAsia="Times New Roman" w:cs="Times New Roman" w:ascii="Times New Roman" w:hAnsi="Times New Roman"/>
          <w:bCs/>
          <w:color w:val="000000" w:themeColor="text1"/>
          <w:sz w:val="28"/>
          <w:szCs w:val="28"/>
          <w:lang w:eastAsia="ru-RU"/>
        </w:rPr>
        <w:t xml:space="preserve"> </w:t>
      </w:r>
    </w:p>
    <w:p>
      <w:pPr>
        <w:pStyle w:val="Normal"/>
        <w:spacing w:lineRule="atLeast" w:line="240" w:before="0" w:after="0"/>
        <w:jc w:val="both"/>
        <w:rPr/>
      </w:pPr>
      <w:r>
        <w:rPr>
          <w:rFonts w:eastAsia="Times New Roman" w:cs="Times New Roman" w:ascii="Times New Roman" w:hAnsi="Times New Roman"/>
          <w:bCs/>
          <w:color w:val="000000" w:themeColor="text1"/>
          <w:sz w:val="28"/>
          <w:szCs w:val="28"/>
          <w:lang w:eastAsia="ru-RU"/>
        </w:rPr>
        <w:t xml:space="preserve">Ноябрь </w:t>
      </w:r>
      <w:r>
        <w:rPr>
          <w:rFonts w:eastAsia="Times New Roman" w:cs="Times New Roman" w:ascii="Times New Roman" w:hAnsi="Times New Roman"/>
          <w:bCs/>
          <w:color w:val="000000" w:themeColor="text1"/>
          <w:sz w:val="28"/>
          <w:szCs w:val="28"/>
          <w:lang w:eastAsia="ru-RU"/>
        </w:rPr>
        <w:t xml:space="preserve"> 202</w:t>
      </w:r>
      <w:r>
        <w:rPr>
          <w:rFonts w:eastAsia="Times New Roman" w:cs="Times New Roman" w:ascii="Times New Roman" w:hAnsi="Times New Roman"/>
          <w:bCs/>
          <w:color w:val="000000" w:themeColor="text1"/>
          <w:sz w:val="28"/>
          <w:szCs w:val="28"/>
          <w:lang w:eastAsia="ru-RU"/>
        </w:rPr>
        <w:t>3</w:t>
      </w:r>
      <w:r>
        <w:rPr>
          <w:rFonts w:eastAsia="Times New Roman" w:cs="Times New Roman" w:ascii="Times New Roman" w:hAnsi="Times New Roman"/>
          <w:bCs/>
          <w:color w:val="000000" w:themeColor="text1"/>
          <w:sz w:val="28"/>
          <w:szCs w:val="28"/>
          <w:lang w:eastAsia="ru-RU"/>
        </w:rPr>
        <w:t xml:space="preserve"> – </w:t>
      </w:r>
      <w:r>
        <w:rPr>
          <w:rFonts w:eastAsia="Times New Roman" w:cs="Times New Roman" w:ascii="Times New Roman" w:hAnsi="Times New Roman"/>
          <w:bCs/>
          <w:color w:val="000000" w:themeColor="text1"/>
          <w:sz w:val="28"/>
          <w:szCs w:val="28"/>
          <w:lang w:eastAsia="ru-RU"/>
        </w:rPr>
        <w:t xml:space="preserve">декабрь </w:t>
      </w:r>
      <w:r>
        <w:rPr>
          <w:rFonts w:eastAsia="Times New Roman" w:cs="Times New Roman" w:ascii="Times New Roman" w:hAnsi="Times New Roman"/>
          <w:bCs/>
          <w:color w:val="000000" w:themeColor="text1"/>
          <w:sz w:val="28"/>
          <w:szCs w:val="28"/>
          <w:lang w:eastAsia="ru-RU"/>
        </w:rPr>
        <w:t>202</w:t>
      </w:r>
      <w:r>
        <w:rPr>
          <w:rFonts w:eastAsia="Times New Roman" w:cs="Times New Roman" w:ascii="Times New Roman" w:hAnsi="Times New Roman"/>
          <w:bCs/>
          <w:color w:val="000000" w:themeColor="text1"/>
          <w:sz w:val="28"/>
          <w:szCs w:val="28"/>
          <w:lang w:eastAsia="ru-RU"/>
        </w:rPr>
        <w:t>3</w:t>
      </w:r>
      <w:r>
        <w:rPr>
          <w:rFonts w:eastAsia="Times New Roman" w:cs="Times New Roman" w:ascii="Times New Roman" w:hAnsi="Times New Roman"/>
          <w:bCs/>
          <w:color w:val="000000" w:themeColor="text1"/>
          <w:sz w:val="28"/>
          <w:szCs w:val="28"/>
          <w:lang w:eastAsia="ru-RU"/>
        </w:rPr>
        <w:t>, краткосрочный.</w:t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color w:val="000000" w:themeColor="text1"/>
          <w:sz w:val="28"/>
          <w:szCs w:val="28"/>
          <w:lang w:eastAsia="ru-RU"/>
        </w:rPr>
        <w:t>Создание интереса у детей.</w:t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color w:val="000000" w:themeColor="text1"/>
          <w:sz w:val="28"/>
          <w:szCs w:val="28"/>
          <w:lang w:eastAsia="ru-RU"/>
        </w:rPr>
        <w:t>Участие родителей, детей  и педагогов  в реализации проекта.</w:t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Предполагаемый  результат:</w:t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1. Использование метода проектов в коррекционной работе будет способствовать успешному развитию коммуникативных и творческих способностей детей. </w:t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2. Повышение психолого-педагогической компетенции педагогов и родителей в вопросах речевого развития детей. </w:t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3. Повышение заинтересованности родителей не только в результатах, но и в самом процессе коррекционно-воспитательной работы. </w:t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4. Использование камешков декоративных в совместной с педагогом и самостоятельной деятельности.</w:t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5. Создание в группе  развивающей среды с использованием камешков.</w:t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Полученные во время занятий знания, речевые умения детей закрепляются в игровой форме в повседневной жизни, обогащается предметно-развивающая среда.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FF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FF0000"/>
          <w:sz w:val="28"/>
          <w:szCs w:val="28"/>
          <w:lang w:eastAsia="ru-RU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 w:themeColor="text1"/>
          <w:sz w:val="28"/>
          <w:szCs w:val="28"/>
          <w:lang w:eastAsia="ru-RU"/>
        </w:rPr>
        <w:t>План проведения проектной деятельности</w:t>
      </w:r>
    </w:p>
    <w:tbl>
      <w:tblPr>
        <w:tblStyle w:val="a3"/>
        <w:tblW w:w="10915" w:type="dxa"/>
        <w:jc w:val="left"/>
        <w:tblInd w:w="-1026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984"/>
        <w:gridCol w:w="2836"/>
        <w:gridCol w:w="4251"/>
        <w:gridCol w:w="1843"/>
      </w:tblGrid>
      <w:tr>
        <w:trPr/>
        <w:tc>
          <w:tcPr>
            <w:tcW w:w="1984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>ИГРОВАЯ СИТУАЦИЯ</w:t>
            </w:r>
          </w:p>
        </w:tc>
        <w:tc>
          <w:tcPr>
            <w:tcW w:w="2836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>ЗАДАЧИ</w:t>
            </w:r>
          </w:p>
        </w:tc>
        <w:tc>
          <w:tcPr>
            <w:tcW w:w="4251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843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jc w:val="center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>ОТЧЕТНОСТЬ</w:t>
            </w:r>
          </w:p>
        </w:tc>
      </w:tr>
      <w:tr>
        <w:trPr/>
        <w:tc>
          <w:tcPr>
            <w:tcW w:w="1984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b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Calibri" w:cs="Times New Roman" w:ascii="Times New Roman" w:hAnsi="Times New Roman"/>
                <w:b/>
                <w:bCs/>
                <w:sz w:val="28"/>
                <w:szCs w:val="28"/>
              </w:rPr>
              <w:t>Экспериментальная деятельность «Удивительные камешки»</w:t>
            </w:r>
          </w:p>
        </w:tc>
        <w:tc>
          <w:tcPr>
            <w:tcW w:w="2836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Calibri" w:cs="Times New Roman" w:ascii="Times New Roman" w:hAnsi="Times New Roman"/>
                <w:bCs/>
                <w:sz w:val="28"/>
                <w:szCs w:val="28"/>
              </w:rPr>
              <w:t>Внедрение игрового материала в деятельность детей, познакомить детей с камешками (твердые, гладкие, тяжелые, прозрачные).</w:t>
            </w:r>
          </w:p>
        </w:tc>
        <w:tc>
          <w:tcPr>
            <w:tcW w:w="4251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Предлагаем сначала рассмотреть камешки. Как вы думаете, на какие группы их можно разделить? (варианты детей) Так значит, какие бывают камешки? (большие, маленькие, разных цветов, формы). </w:t>
            </w:r>
          </w:p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>Далее детям предлагается поиграть самостоятельно.</w:t>
            </w:r>
          </w:p>
        </w:tc>
        <w:tc>
          <w:tcPr>
            <w:tcW w:w="1843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i/>
                <w:i/>
                <w:color w:val="000000" w:themeColor="text1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i/>
                <w:color w:val="000000" w:themeColor="text1"/>
                <w:lang w:eastAsia="ru-RU"/>
              </w:rPr>
              <w:t>Фотоотчет № 1</w:t>
            </w:r>
          </w:p>
        </w:tc>
      </w:tr>
      <w:tr>
        <w:trPr/>
        <w:tc>
          <w:tcPr>
            <w:tcW w:w="1984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Calibri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bCs/>
                <w:sz w:val="28"/>
                <w:szCs w:val="28"/>
              </w:rPr>
              <w:t>Релаксационное упражнение</w:t>
            </w:r>
          </w:p>
        </w:tc>
        <w:tc>
          <w:tcPr>
            <w:tcW w:w="2836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Cs/>
                <w:sz w:val="28"/>
                <w:szCs w:val="28"/>
              </w:rPr>
              <w:t>Релаксационное воздействие камешков на рецепторы пальцев.</w:t>
            </w:r>
          </w:p>
        </w:tc>
        <w:tc>
          <w:tcPr>
            <w:tcW w:w="4251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>«Мы насыпали шары и пальцы запустили…</w:t>
              <w:br/>
              <w:t>Устроив там переполох, чтоб пальцы не грустили!»</w:t>
            </w:r>
            <w:bookmarkStart w:id="0" w:name="_GoBack"/>
            <w:bookmarkEnd w:id="0"/>
          </w:p>
        </w:tc>
        <w:tc>
          <w:tcPr>
            <w:tcW w:w="1843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i/>
                <w:i/>
                <w:color w:val="000000" w:themeColor="text1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i/>
                <w:color w:val="000000" w:themeColor="text1"/>
                <w:lang w:eastAsia="ru-RU"/>
              </w:rPr>
              <w:t>----------------------</w:t>
            </w:r>
          </w:p>
        </w:tc>
      </w:tr>
      <w:tr>
        <w:trPr/>
        <w:tc>
          <w:tcPr>
            <w:tcW w:w="1984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Calibri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bCs/>
                <w:sz w:val="28"/>
                <w:szCs w:val="28"/>
              </w:rPr>
              <w:t>Релаксационное упражнение</w:t>
            </w:r>
          </w:p>
        </w:tc>
        <w:tc>
          <w:tcPr>
            <w:tcW w:w="2836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Calibri" w:cs="Times New Roman"/>
                <w:bCs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Cs/>
                <w:sz w:val="28"/>
                <w:szCs w:val="28"/>
              </w:rPr>
              <w:t>Сенсорная коробка с  камешками – является хорошим релаксатором, настраивает на интересную увлекательную игру.</w:t>
            </w:r>
          </w:p>
        </w:tc>
        <w:tc>
          <w:tcPr>
            <w:tcW w:w="4251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>Говорим и отдыхаем,</w:t>
            </w:r>
          </w:p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>Камешки перебираем,</w:t>
            </w:r>
          </w:p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>Разные - разные:</w:t>
            </w:r>
          </w:p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>Голубые, красные,</w:t>
            </w:r>
          </w:p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>Желтые, зеленые,</w:t>
            </w:r>
          </w:p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>Легкие, тяжелые.</w:t>
            </w:r>
          </w:p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>Раз, два, три, четыре, пять,</w:t>
            </w:r>
          </w:p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>Будем камешки считать,</w:t>
            </w:r>
          </w:p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>Будем камешки считать</w:t>
            </w:r>
          </w:p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>И цвета запоминать.</w:t>
            </w:r>
          </w:p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>Громко четко говорим,</w:t>
            </w:r>
          </w:p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>Говорим и не спешим,</w:t>
            </w:r>
          </w:p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>камешки в руках сжимаем,</w:t>
            </w:r>
          </w:p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>до пяти с тобой считаем.</w:t>
            </w:r>
          </w:p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>Раз, два, три, четыре, пять,</w:t>
            </w:r>
          </w:p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>Повторяй за мной опять.</w:t>
            </w:r>
          </w:p>
        </w:tc>
        <w:tc>
          <w:tcPr>
            <w:tcW w:w="1843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i/>
                <w:i/>
                <w:color w:val="000000" w:themeColor="text1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i/>
                <w:color w:val="000000" w:themeColor="text1"/>
                <w:lang w:eastAsia="ru-RU"/>
              </w:rPr>
            </w:r>
          </w:p>
        </w:tc>
      </w:tr>
      <w:tr>
        <w:trPr/>
        <w:tc>
          <w:tcPr>
            <w:tcW w:w="1984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b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Дидактическая игра «Золушка» </w:t>
            </w:r>
          </w:p>
        </w:tc>
        <w:tc>
          <w:tcPr>
            <w:tcW w:w="2836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>Развитие мелкой моторики, тактильных ощущений.</w:t>
            </w:r>
          </w:p>
        </w:tc>
        <w:tc>
          <w:tcPr>
            <w:tcW w:w="4251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>Педагог обращает внимание на игру и вспомнить сказку про Золушку( что мачеха заставляла делать девочку – разбирать крупу).Предлагаем перебрать крупу и отделить камешки</w:t>
            </w:r>
          </w:p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>При этом дети рассказывают о текстуре - стеклянные, гладкие; качеством - хрупкое, прозрачное; цветом - красный, синий, зеленый,..</w:t>
            </w:r>
          </w:p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>Затем дается время для самостоятельного манипулирования.</w:t>
            </w:r>
          </w:p>
        </w:tc>
        <w:tc>
          <w:tcPr>
            <w:tcW w:w="1843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i/>
                <w:color w:val="000000" w:themeColor="text1"/>
                <w:lang w:eastAsia="ru-RU"/>
              </w:rPr>
              <w:t>Фотоотчет № 2</w:t>
            </w:r>
          </w:p>
        </w:tc>
      </w:tr>
      <w:tr>
        <w:trPr/>
        <w:tc>
          <w:tcPr>
            <w:tcW w:w="1984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b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Игра «МУХА»</w:t>
            </w:r>
          </w:p>
        </w:tc>
        <w:tc>
          <w:tcPr>
            <w:tcW w:w="2836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sz w:val="28"/>
                <w:szCs w:val="28"/>
              </w:rPr>
              <w:t>Развитие внимания. Развитие у детей пространственных представлений. Научить ориентироваться в пространстве листа, закрепит такие понятия как “лево-право”, “верх-низ”.</w:t>
            </w:r>
          </w:p>
        </w:tc>
        <w:tc>
          <w:tcPr>
            <w:tcW w:w="4251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Инструкция для ребенка: В центре клетки сидит муха, которая пытается выбраться из нее. На каждый ход она может пролететь только одну клеточку. Я буду говорить тебе, куда муха полетела, а ты внимательно следи за ее передвижениями. Как только она вылетит за границы клетки, сразу хлопай в ладоши, чтобы ее поймать. </w:t>
            </w:r>
          </w:p>
        </w:tc>
        <w:tc>
          <w:tcPr>
            <w:tcW w:w="1843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i/>
                <w:color w:val="000000" w:themeColor="text1"/>
                <w:lang w:eastAsia="ru-RU"/>
              </w:rPr>
              <w:t>Фотоотчет № 3</w:t>
            </w:r>
          </w:p>
        </w:tc>
      </w:tr>
      <w:tr>
        <w:trPr/>
        <w:tc>
          <w:tcPr>
            <w:tcW w:w="1984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Calibri" w:cs="Times New Roman"/>
                <w:b/>
                <w:b/>
                <w:color w:val="FF0000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8"/>
                <w:szCs w:val="28"/>
              </w:rPr>
              <w:t>Корректурная проба</w:t>
            </w:r>
          </w:p>
        </w:tc>
        <w:tc>
          <w:tcPr>
            <w:tcW w:w="2836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sz w:val="28"/>
                <w:szCs w:val="28"/>
              </w:rPr>
              <w:t>Развитие устойчивости, целенаправленности и концентрации внимания.</w:t>
            </w:r>
          </w:p>
        </w:tc>
        <w:tc>
          <w:tcPr>
            <w:tcW w:w="4251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>Педагог предлагает карточки с корректурными пробами и задания к ним, в соответствии с изображениями: на все (например «грибки) картинки положи синий камешек, на «вишенки» красный; на каждую третью картинку, знак положи камешек.</w:t>
            </w:r>
          </w:p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>Педагог может варьировать задания по своему усмотрению</w:t>
            </w:r>
          </w:p>
        </w:tc>
        <w:tc>
          <w:tcPr>
            <w:tcW w:w="1843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i/>
                <w:color w:val="000000" w:themeColor="text1"/>
                <w:lang w:eastAsia="ru-RU"/>
              </w:rPr>
              <w:t>Фотоотчет № 4</w:t>
            </w:r>
          </w:p>
        </w:tc>
      </w:tr>
      <w:tr>
        <w:trPr/>
        <w:tc>
          <w:tcPr>
            <w:tcW w:w="1984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Calibri" w:cs="Times New Roman"/>
                <w:b/>
                <w:b/>
                <w:color w:val="FF0000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8"/>
                <w:szCs w:val="28"/>
              </w:rPr>
              <w:t>«Цифры»</w:t>
            </w:r>
          </w:p>
        </w:tc>
        <w:tc>
          <w:tcPr>
            <w:tcW w:w="283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sz w:val="28"/>
                <w:szCs w:val="28"/>
              </w:rPr>
              <w:t>Знакомство с цифрами; закрепление знаний о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sz w:val="28"/>
                <w:szCs w:val="28"/>
              </w:rPr>
              <w:t>соотнесении числа и количества;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sz w:val="28"/>
                <w:szCs w:val="28"/>
              </w:rPr>
              <w:t>развивать зрительное восприятие.</w:t>
            </w:r>
          </w:p>
        </w:tc>
        <w:tc>
          <w:tcPr>
            <w:tcW w:w="4251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>Детям предлагается выложить цифру камешками.</w:t>
            </w:r>
          </w:p>
        </w:tc>
        <w:tc>
          <w:tcPr>
            <w:tcW w:w="1843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i/>
                <w:color w:val="000000" w:themeColor="text1"/>
                <w:lang w:eastAsia="ru-RU"/>
              </w:rPr>
              <w:t>Фотоотчет № 5</w:t>
            </w:r>
          </w:p>
        </w:tc>
      </w:tr>
      <w:tr>
        <w:trPr/>
        <w:tc>
          <w:tcPr>
            <w:tcW w:w="1984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8"/>
                <w:szCs w:val="28"/>
              </w:rPr>
              <w:t>«Пятнашки»</w:t>
            </w:r>
          </w:p>
        </w:tc>
        <w:tc>
          <w:tcPr>
            <w:tcW w:w="283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sz w:val="28"/>
                <w:szCs w:val="28"/>
              </w:rPr>
              <w:t>Развитие логики, памяти, абстрактного мышления, предметно-действенного мышления, пространственного мышления, умение предугадывать ходы соперника.</w:t>
            </w:r>
          </w:p>
        </w:tc>
        <w:tc>
          <w:tcPr>
            <w:tcW w:w="4251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>Игра, чем-то напоминающая "крестики-нолики", только в ней нужно собрать ряд из четырех, пяти фишек, и не дать собрать такой же своему противнику.</w:t>
            </w:r>
          </w:p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Игра предназначена для двух игроков, которые ходят по очереди, ставя фишки своего цвета в специальные ячейки(в данном случае клетки). Нужно первым расположить 4,5 фишек своего цвета в ряд по горизонтали, вертикали или диагонали. </w:t>
            </w:r>
          </w:p>
        </w:tc>
        <w:tc>
          <w:tcPr>
            <w:tcW w:w="1843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i/>
                <w:color w:val="000000" w:themeColor="text1"/>
                <w:lang w:eastAsia="ru-RU"/>
              </w:rPr>
              <w:t>Фотоотчет № 6</w:t>
            </w:r>
          </w:p>
        </w:tc>
      </w:tr>
      <w:tr>
        <w:trPr/>
        <w:tc>
          <w:tcPr>
            <w:tcW w:w="1984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Calibri" w:cs="Times New Roman"/>
                <w:b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8"/>
                <w:szCs w:val="28"/>
              </w:rPr>
              <w:t>«Соседи»</w:t>
            </w:r>
          </w:p>
        </w:tc>
        <w:tc>
          <w:tcPr>
            <w:tcW w:w="283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sz w:val="28"/>
                <w:szCs w:val="28"/>
              </w:rPr>
              <w:t>Закреплять состав числа в пределах 10; учить раскладывать число на два меньших и составлять из двух меньших большее. Учить детей составлять и решать арифметические задачи на сложение и вычитание.</w:t>
            </w:r>
          </w:p>
        </w:tc>
        <w:tc>
          <w:tcPr>
            <w:tcW w:w="4251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>Педагог  выкладывает определенное число на солнышко, ребенку нужно определить состав этого числа и расселить по этажам-квартирам «соседей». Педагог может предложить ребенку самостоятельно выбрать число и положить его на солнышко, определить состав числа.</w:t>
            </w:r>
          </w:p>
        </w:tc>
        <w:tc>
          <w:tcPr>
            <w:tcW w:w="1843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i/>
                <w:color w:val="000000" w:themeColor="text1"/>
                <w:lang w:eastAsia="ru-RU"/>
              </w:rPr>
              <w:t>Фотоотчет № 7</w:t>
            </w:r>
          </w:p>
        </w:tc>
      </w:tr>
      <w:tr>
        <w:trPr/>
        <w:tc>
          <w:tcPr>
            <w:tcW w:w="1984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Calibri" w:cs="Times New Roman"/>
                <w:b/>
                <w:b/>
                <w:color w:val="FF0000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sz w:val="28"/>
                <w:szCs w:val="28"/>
              </w:rPr>
              <w:t>Графический  диктант</w:t>
            </w:r>
          </w:p>
        </w:tc>
        <w:tc>
          <w:tcPr>
            <w:tcW w:w="2836" w:type="dxa"/>
            <w:tcBorders/>
            <w:shd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sz w:val="28"/>
                <w:szCs w:val="28"/>
              </w:rPr>
              <w:t>Ориентировка на листе бумаги в клетку.</w:t>
            </w:r>
          </w:p>
          <w:p>
            <w:pPr>
              <w:pStyle w:val="Normal"/>
              <w:spacing w:before="0" w:after="0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sz w:val="28"/>
                <w:szCs w:val="28"/>
              </w:rPr>
              <w:t>Развитие устойчивого внимания.</w:t>
            </w:r>
          </w:p>
          <w:p>
            <w:pPr>
              <w:pStyle w:val="Normal"/>
              <w:spacing w:before="0" w:after="0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sz w:val="28"/>
                <w:szCs w:val="28"/>
              </w:rPr>
              <w:t>Укрепление памяти.</w:t>
            </w:r>
          </w:p>
          <w:p>
            <w:pPr>
              <w:pStyle w:val="Normal"/>
              <w:spacing w:before="0" w:after="0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sz w:val="28"/>
                <w:szCs w:val="28"/>
              </w:rPr>
              <w:t>Активизация мыслительных процессов.</w:t>
            </w:r>
          </w:p>
          <w:p>
            <w:pPr>
              <w:pStyle w:val="Normal"/>
              <w:spacing w:lineRule="atLeast" w:line="240" w:before="0" w:after="0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251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>Педагог предлагает одному ребенку называть место положение своих камешков в соответствии со схемой- картинкой, другой ребенок внимательно слушая, выполняет в соответствии со словестной инструкции. В конце идет сверка со схемой и исправление ошибок.</w:t>
            </w:r>
          </w:p>
        </w:tc>
        <w:tc>
          <w:tcPr>
            <w:tcW w:w="1843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i/>
                <w:color w:val="000000" w:themeColor="text1"/>
                <w:lang w:eastAsia="ru-RU"/>
              </w:rPr>
              <w:t>Фотоотчет № 8</w:t>
            </w:r>
          </w:p>
        </w:tc>
      </w:tr>
      <w:tr>
        <w:trPr/>
        <w:tc>
          <w:tcPr>
            <w:tcW w:w="198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b/>
                <w:b/>
                <w:bCs/>
                <w:iCs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Cs/>
                <w:sz w:val="28"/>
                <w:szCs w:val="28"/>
              </w:rPr>
              <w:t>«Выложи  рисунок» (по типу мозайки)</w:t>
            </w:r>
          </w:p>
        </w:tc>
        <w:tc>
          <w:tcPr>
            <w:tcW w:w="2836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sz w:val="28"/>
                <w:szCs w:val="28"/>
              </w:rPr>
              <w:t>Воображение, творчество. Развитие мелкой моторики.</w:t>
            </w:r>
          </w:p>
        </w:tc>
        <w:tc>
          <w:tcPr>
            <w:tcW w:w="4251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>Педагог предлагает разложить камушки накладывая их на образец -карточку, на которой нанесен рисунок.</w:t>
            </w:r>
          </w:p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Усложнение: </w:t>
            </w:r>
          </w:p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>Выкладывание камушков, ориентируясь на образец на свободном пространстве.</w:t>
            </w:r>
          </w:p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>Запомнить узор на карточке и выложить по памяти.</w:t>
            </w:r>
          </w:p>
        </w:tc>
        <w:tc>
          <w:tcPr>
            <w:tcW w:w="1843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i/>
                <w:color w:val="000000" w:themeColor="text1"/>
                <w:lang w:eastAsia="ru-RU"/>
              </w:rPr>
              <w:t>Фотоотчет № 9</w:t>
            </w:r>
          </w:p>
        </w:tc>
      </w:tr>
      <w:tr>
        <w:trPr/>
        <w:tc>
          <w:tcPr>
            <w:tcW w:w="198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eastAsia="Calibri" w:cs="Times New Roman"/>
                <w:b/>
                <w:b/>
                <w:bCs/>
                <w:iCs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Cs/>
                <w:sz w:val="28"/>
                <w:szCs w:val="28"/>
              </w:rPr>
              <w:t>"Змейка"</w:t>
            </w:r>
          </w:p>
        </w:tc>
        <w:tc>
          <w:tcPr>
            <w:tcW w:w="2836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sz w:val="28"/>
                <w:szCs w:val="28"/>
              </w:rPr>
              <w:t>Учить складывать камушки, прикладывая один к другому; развивать умения различать длинную и короткую змейку,  развивать мелкую моторику рук.</w:t>
            </w:r>
          </w:p>
        </w:tc>
        <w:tc>
          <w:tcPr>
            <w:tcW w:w="4251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>Педагог предлагает выложить змейку, используя один цвет, два цвета чередуя их, используя количественный показатель (Возьми 5 камушков одного цвета и 4 камушка другого цвета).</w:t>
            </w:r>
          </w:p>
        </w:tc>
        <w:tc>
          <w:tcPr>
            <w:tcW w:w="1843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i/>
                <w:color w:val="000000" w:themeColor="text1"/>
                <w:lang w:eastAsia="ru-RU"/>
              </w:rPr>
              <w:t>Фотоотчет № 10</w:t>
            </w:r>
          </w:p>
        </w:tc>
      </w:tr>
      <w:tr>
        <w:trPr/>
        <w:tc>
          <w:tcPr>
            <w:tcW w:w="198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eastAsia="Calibri" w:cs="Times New Roman"/>
                <w:b/>
                <w:b/>
                <w:bCs/>
                <w:iCs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Cs/>
                <w:sz w:val="28"/>
                <w:szCs w:val="28"/>
              </w:rPr>
              <w:t>«Раз слог, два слог»</w:t>
            </w:r>
          </w:p>
        </w:tc>
        <w:tc>
          <w:tcPr>
            <w:tcW w:w="2836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sz w:val="28"/>
                <w:szCs w:val="28"/>
              </w:rPr>
              <w:t>Закреплять представления детей о слоге, продолжать учить делить слова на слоги и определять ударный слог.</w:t>
            </w:r>
          </w:p>
        </w:tc>
        <w:tc>
          <w:tcPr>
            <w:tcW w:w="4251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>Педагог предлагает поделить слова на слоги и каждый слог обозначить камешком, а над ударным слогом поставить другого цвета камешек.</w:t>
            </w:r>
          </w:p>
        </w:tc>
        <w:tc>
          <w:tcPr>
            <w:tcW w:w="1843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i/>
                <w:i/>
                <w:color w:val="000000" w:themeColor="text1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i/>
                <w:color w:val="000000" w:themeColor="text1"/>
                <w:lang w:eastAsia="ru-RU"/>
              </w:rPr>
              <w:t>Фотоотчет № 11</w:t>
            </w:r>
          </w:p>
        </w:tc>
      </w:tr>
      <w:tr>
        <w:trPr/>
        <w:tc>
          <w:tcPr>
            <w:tcW w:w="198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eastAsia="Calibri" w:cs="Times New Roman"/>
                <w:b/>
                <w:b/>
                <w:bCs/>
                <w:iCs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Cs/>
                <w:sz w:val="28"/>
                <w:szCs w:val="28"/>
              </w:rPr>
              <w:t>«Веселые звуки»</w:t>
            </w:r>
          </w:p>
        </w:tc>
        <w:tc>
          <w:tcPr>
            <w:tcW w:w="2836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sz w:val="28"/>
                <w:szCs w:val="28"/>
              </w:rPr>
              <w:t xml:space="preserve">Закреплять умения проводить звуковой анализ слов; дифференциация гласных, твердых и мягких согласных звуков. </w:t>
            </w:r>
          </w:p>
        </w:tc>
        <w:tc>
          <w:tcPr>
            <w:tcW w:w="4251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>Педагог предлагает выбрать картинку и определить звуки, обозначив их соответствующим камешком и определенного цвета</w:t>
            </w:r>
          </w:p>
        </w:tc>
        <w:tc>
          <w:tcPr>
            <w:tcW w:w="1843" w:type="dxa"/>
            <w:tcBorders/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i/>
                <w:i/>
                <w:color w:val="000000" w:themeColor="text1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i/>
                <w:color w:val="000000" w:themeColor="text1"/>
                <w:lang w:eastAsia="ru-RU"/>
              </w:rPr>
              <w:t>Фотоотчет № 12</w:t>
            </w:r>
          </w:p>
        </w:tc>
      </w:tr>
    </w:tbl>
    <w:p>
      <w:pPr>
        <w:pStyle w:val="Normal"/>
        <w:spacing w:lineRule="atLeast" w:line="240" w:before="0" w:after="0"/>
        <w:rPr>
          <w:rFonts w:ascii="Arial" w:hAnsi="Arial" w:eastAsia="Times New Roman" w:cs="Arial"/>
          <w:color w:val="000000" w:themeColor="text1"/>
          <w:lang w:eastAsia="ru-RU"/>
        </w:rPr>
      </w:pPr>
      <w:r>
        <w:rPr>
          <w:rFonts w:eastAsia="Times New Roman" w:cs="Arial" w:ascii="Arial" w:hAnsi="Arial"/>
          <w:color w:val="000000" w:themeColor="text1"/>
          <w:lang w:eastAsia="ru-RU"/>
        </w:rPr>
      </w:r>
    </w:p>
    <w:p>
      <w:pPr>
        <w:pStyle w:val="Normal"/>
        <w:spacing w:lineRule="atLeast" w:line="240" w:beforeAutospacing="1" w:afterAutospacing="1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val="en-US" w:eastAsia="ru-RU"/>
        </w:rPr>
        <w:t>III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 xml:space="preserve"> заключительный этап: оформление материала в проект.</w:t>
      </w:r>
    </w:p>
    <w:p>
      <w:pPr>
        <w:pStyle w:val="Normal"/>
        <w:shd w:val="clear" w:color="auto" w:fill="FFFFFF"/>
        <w:spacing w:lineRule="auto" w:line="36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.</w:t>
      </w:r>
    </w:p>
    <w:p>
      <w:pPr>
        <w:pStyle w:val="Normal"/>
        <w:spacing w:lineRule="atLeast" w:line="240" w:before="0" w:after="0"/>
        <w:jc w:val="both"/>
        <w:rPr>
          <w:color w:val="FF0000"/>
        </w:rPr>
      </w:pPr>
      <w:r>
        <w:rPr>
          <w:color w:val="FF0000"/>
        </w:rPr>
      </w:r>
    </w:p>
    <w:p>
      <w:pPr>
        <w:pStyle w:val="Normal"/>
        <w:spacing w:lineRule="atLeast" w:line="240" w:before="0" w:after="0"/>
        <w:jc w:val="both"/>
        <w:rPr>
          <w:color w:val="FF0000"/>
        </w:rPr>
      </w:pPr>
      <w:r>
        <w:rPr>
          <w:color w:val="FF0000"/>
        </w:rPr>
      </w:r>
    </w:p>
    <w:p>
      <w:pPr>
        <w:pStyle w:val="Normal"/>
        <w:spacing w:lineRule="atLeast" w:line="240" w:before="0" w:after="0"/>
        <w:jc w:val="both"/>
        <w:rPr>
          <w:color w:val="FF0000"/>
        </w:rPr>
      </w:pPr>
      <w:r>
        <w:rPr>
          <w:color w:val="FF0000"/>
        </w:rPr>
      </w:r>
    </w:p>
    <w:p>
      <w:pPr>
        <w:pStyle w:val="Normal"/>
        <w:spacing w:lineRule="atLeast" w:line="240" w:before="0" w:after="0"/>
        <w:jc w:val="both"/>
        <w:rPr>
          <w:color w:val="FF0000"/>
        </w:rPr>
      </w:pPr>
      <w:r>
        <w:rPr>
          <w:color w:val="FF0000"/>
        </w:rPr>
      </w:r>
    </w:p>
    <w:p>
      <w:pPr>
        <w:pStyle w:val="Normal"/>
        <w:spacing w:lineRule="atLeast" w:line="240" w:before="0" w:after="0"/>
        <w:jc w:val="both"/>
        <w:rPr>
          <w:color w:val="FF0000"/>
        </w:rPr>
      </w:pPr>
      <w:r>
        <w:rPr>
          <w:color w:val="FF0000"/>
        </w:rPr>
      </w:r>
    </w:p>
    <w:p>
      <w:pPr>
        <w:pStyle w:val="Normal"/>
        <w:spacing w:lineRule="atLeast" w:line="240" w:before="0" w:after="0"/>
        <w:jc w:val="both"/>
        <w:rPr>
          <w:color w:val="FF0000"/>
        </w:rPr>
      </w:pPr>
      <w:r>
        <w:rPr>
          <w:color w:val="FF0000"/>
        </w:rPr>
      </w:r>
    </w:p>
    <w:p>
      <w:pPr>
        <w:pStyle w:val="Normal"/>
        <w:spacing w:lineRule="atLeast" w:line="240" w:before="0" w:after="0"/>
        <w:jc w:val="both"/>
        <w:rPr>
          <w:color w:val="FF0000"/>
        </w:rPr>
      </w:pPr>
      <w:r>
        <w:rPr>
          <w:color w:val="FF0000"/>
        </w:rPr>
      </w:r>
    </w:p>
    <w:p>
      <w:pPr>
        <w:pStyle w:val="Normal"/>
        <w:spacing w:lineRule="atLeast" w:line="240" w:before="0" w:after="0"/>
        <w:jc w:val="both"/>
        <w:rPr>
          <w:color w:val="FF0000"/>
        </w:rPr>
      </w:pPr>
      <w:r>
        <w:rPr>
          <w:color w:val="FF0000"/>
        </w:rPr>
      </w:r>
    </w:p>
    <w:p>
      <w:pPr>
        <w:pStyle w:val="Normal"/>
        <w:spacing w:lineRule="atLeast" w:line="240" w:before="0" w:after="0"/>
        <w:jc w:val="both"/>
        <w:rPr>
          <w:color w:val="FF0000"/>
        </w:rPr>
      </w:pPr>
      <w:r>
        <w:rPr>
          <w:color w:val="FF0000"/>
        </w:rPr>
      </w:r>
    </w:p>
    <w:p>
      <w:pPr>
        <w:pStyle w:val="Normal"/>
        <w:spacing w:lineRule="atLeast" w:line="240" w:before="0" w:after="0"/>
        <w:jc w:val="both"/>
        <w:rPr>
          <w:color w:val="FF0000"/>
        </w:rPr>
      </w:pPr>
      <w:r>
        <w:rPr>
          <w:color w:val="FF0000"/>
        </w:rPr>
      </w:r>
    </w:p>
    <w:p>
      <w:pPr>
        <w:pStyle w:val="Normal"/>
        <w:spacing w:lineRule="atLeast" w:line="240" w:before="0" w:after="0"/>
        <w:jc w:val="both"/>
        <w:rPr>
          <w:color w:val="FF0000"/>
        </w:rPr>
      </w:pPr>
      <w:r>
        <w:rPr>
          <w:color w:val="FF0000"/>
        </w:rPr>
      </w:r>
    </w:p>
    <w:p>
      <w:pPr>
        <w:pStyle w:val="Normal"/>
        <w:spacing w:lineRule="atLeast" w:line="240" w:before="0" w:after="0"/>
        <w:jc w:val="both"/>
        <w:rPr>
          <w:color w:val="FF0000"/>
        </w:rPr>
      </w:pPr>
      <w:r>
        <w:rPr>
          <w:color w:val="FF0000"/>
        </w:rPr>
      </w:r>
    </w:p>
    <w:p>
      <w:pPr>
        <w:pStyle w:val="Normal"/>
        <w:spacing w:lineRule="atLeast" w:line="240" w:before="0" w:after="0"/>
        <w:jc w:val="both"/>
        <w:rPr>
          <w:color w:val="FF0000"/>
        </w:rPr>
      </w:pPr>
      <w:r>
        <w:rPr>
          <w:color w:val="FF0000"/>
        </w:rPr>
      </w:r>
    </w:p>
    <w:p>
      <w:pPr>
        <w:pStyle w:val="Normal"/>
        <w:rPr>
          <w:color w:val="FF0000"/>
        </w:rPr>
      </w:pPr>
      <w:r>
        <w:rPr>
          <w:color w:val="FF0000"/>
        </w:rPr>
      </w:r>
    </w:p>
    <w:p>
      <w:pPr>
        <w:pStyle w:val="Normal"/>
        <w:rPr>
          <w:color w:val="FF0000"/>
        </w:rPr>
      </w:pPr>
      <w:r>
        <w:rPr>
          <w:color w:val="FF0000"/>
        </w:rPr>
      </w:r>
    </w:p>
    <w:p>
      <w:pPr>
        <w:pStyle w:val="Normal"/>
        <w:rPr>
          <w:color w:val="FF0000"/>
        </w:rPr>
      </w:pPr>
      <w:r>
        <w:rPr>
          <w:color w:val="FF0000"/>
        </w:rPr>
      </w:r>
    </w:p>
    <w:p>
      <w:pPr>
        <w:pStyle w:val="Normal"/>
        <w:rPr>
          <w:color w:val="FF0000"/>
        </w:rPr>
      </w:pPr>
      <w:r>
        <w:rPr>
          <w:color w:val="FF0000"/>
        </w:rPr>
      </w:r>
    </w:p>
    <w:p>
      <w:pPr>
        <w:pStyle w:val="Normal"/>
        <w:rPr>
          <w:color w:val="FF0000"/>
        </w:rPr>
      </w:pPr>
      <w:r>
        <w:rPr>
          <w:color w:val="FF0000"/>
        </w:rPr>
      </w:r>
    </w:p>
    <w:p>
      <w:pPr>
        <w:pStyle w:val="Normal"/>
        <w:rPr>
          <w:color w:val="FF0000"/>
        </w:rPr>
      </w:pPr>
      <w:r>
        <w:rPr>
          <w:color w:val="FF0000"/>
        </w:rPr>
      </w:r>
    </w:p>
    <w:p>
      <w:pPr>
        <w:pStyle w:val="Normal"/>
        <w:rPr>
          <w:color w:val="FF0000"/>
        </w:rPr>
      </w:pPr>
      <w:r>
        <w:rPr>
          <w:color w:val="FF0000"/>
        </w:rPr>
      </w:r>
    </w:p>
    <w:p>
      <w:pPr>
        <w:pStyle w:val="Normal"/>
        <w:rPr>
          <w:color w:val="FF0000"/>
        </w:rPr>
      </w:pPr>
      <w:r>
        <w:rPr>
          <w:color w:val="FF0000"/>
        </w:rPr>
      </w:r>
    </w:p>
    <w:p>
      <w:pPr>
        <w:pStyle w:val="Normal"/>
        <w:rPr>
          <w:color w:val="FF0000"/>
        </w:rPr>
      </w:pPr>
      <w:r>
        <w:rPr>
          <w:color w:val="FF0000"/>
        </w:rPr>
      </w:r>
    </w:p>
    <w:p>
      <w:pPr>
        <w:pStyle w:val="Normal"/>
        <w:rPr>
          <w:color w:val="FF0000"/>
        </w:rPr>
      </w:pPr>
      <w:r>
        <w:rPr>
          <w:color w:val="FF0000"/>
        </w:rPr>
      </w:r>
    </w:p>
    <w:p>
      <w:pPr>
        <w:pStyle w:val="Normal"/>
        <w:rPr>
          <w:color w:val="FF0000"/>
        </w:rPr>
      </w:pPr>
      <w:r>
        <w:rPr>
          <w:color w:val="FF0000"/>
        </w:rPr>
      </w:r>
    </w:p>
    <w:p>
      <w:pPr>
        <w:pStyle w:val="Normal"/>
        <w:rPr>
          <w:color w:val="FF0000"/>
        </w:rPr>
      </w:pPr>
      <w:r>
        <w:rPr>
          <w:color w:val="FF0000"/>
        </w:rPr>
      </w:r>
    </w:p>
    <w:p>
      <w:pPr>
        <w:pStyle w:val="Normal"/>
        <w:rPr>
          <w:color w:val="FF0000"/>
        </w:rPr>
      </w:pPr>
      <w:r>
        <w:rPr>
          <w:color w:val="FF0000"/>
        </w:rPr>
      </w:r>
    </w:p>
    <w:p>
      <w:pPr>
        <w:pStyle w:val="Normal"/>
        <w:rPr>
          <w:color w:val="FF0000"/>
        </w:rPr>
      </w:pPr>
      <w:r>
        <w:rPr>
          <w:color w:val="FF0000"/>
        </w:rPr>
      </w:r>
    </w:p>
    <w:p>
      <w:pPr>
        <w:pStyle w:val="Normal"/>
        <w:rPr>
          <w:color w:val="FF0000"/>
        </w:rPr>
      </w:pPr>
      <w:r>
        <w:rPr>
          <w:color w:val="FF0000"/>
        </w:rPr>
      </w:r>
    </w:p>
    <w:p>
      <w:pPr>
        <w:pStyle w:val="Normal"/>
        <w:rPr>
          <w:color w:val="FF0000"/>
        </w:rPr>
      </w:pPr>
      <w:r>
        <w:rPr>
          <w:color w:val="FF0000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  <w:t>Фотоотчет №1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/>
        <w:drawing>
          <wp:inline distT="0" distB="0" distL="0" distR="6985">
            <wp:extent cx="4051300" cy="5400040"/>
            <wp:effectExtent l="0" t="0" r="0" b="0"/>
            <wp:docPr id="2" name="Рисунок 11" descr="C:\Users\Александр\AppData\Local\Temp\Rar$DIa1520.15212\IMG_20210413_16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1" descr="C:\Users\Александр\AppData\Local\Temp\Rar$DIa1520.15212\IMG_20210413_160332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  <w:t>Фотоотчет №2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/>
        <w:drawing>
          <wp:inline distT="0" distB="0" distL="0" distR="6985">
            <wp:extent cx="4051300" cy="5400040"/>
            <wp:effectExtent l="0" t="0" r="0" b="0"/>
            <wp:docPr id="3" name="Рисунок 10" descr="C:\Users\Александр\AppData\Local\Temp\Rar$DIa1520.10532\IMG_20210413_16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 descr="C:\Users\Александр\AppData\Local\Temp\Rar$DIa1520.10532\IMG_20210413_16014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  <w:t>Фотоотчет №3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/>
        <w:drawing>
          <wp:inline distT="0" distB="1270" distL="0" distR="5715">
            <wp:extent cx="5937885" cy="4456430"/>
            <wp:effectExtent l="0" t="0" r="0" b="0"/>
            <wp:docPr id="4" name="Рисунок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0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  <w:t>Фотоотчет №4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/>
        <w:drawing>
          <wp:inline distT="0" distB="0" distL="0" distR="0">
            <wp:extent cx="5038725" cy="3780155"/>
            <wp:effectExtent l="0" t="0" r="0" b="0"/>
            <wp:docPr id="5" name="Рисунок 3" descr="C:\Users\Александр\AppData\Local\Temp\Rar$DIa1520.20545\IMG_20210413_15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 descr="C:\Users\Александр\AppData\Local\Temp\Rar$DIa1520.20545\IMG_20210413_15374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/>
        <w:drawing>
          <wp:inline distT="0" distB="0" distL="0" distR="0">
            <wp:extent cx="5038725" cy="3780155"/>
            <wp:effectExtent l="0" t="0" r="0" b="0"/>
            <wp:docPr id="6" name="Рисунок 4" descr="C:\Users\Александр\AppData\Local\Temp\Rar$DIa1520.24599\IMG_20210413_15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" descr="C:\Users\Александр\AppData\Local\Temp\Rar$DIa1520.24599\IMG_20210413_15432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  <w:t>Фотоотчет №5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/>
        <w:drawing>
          <wp:inline distT="0" distB="6350" distL="0" distR="3175">
            <wp:extent cx="5940425" cy="7919085"/>
            <wp:effectExtent l="0" t="0" r="0" b="0"/>
            <wp:docPr id="7" name="Рисунок 7" descr="C:\Users\Александр\AppData\Local\Temp\Rar$DIa1520.40683\IMG_20210413_15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Александр\AppData\Local\Temp\Rar$DIa1520.40683\IMG_20210413_1556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  <w:t>Фотоотчет №6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/>
        <w:drawing>
          <wp:inline distT="0" distB="0" distL="0" distR="0">
            <wp:extent cx="5038090" cy="3780155"/>
            <wp:effectExtent l="0" t="0" r="0" b="0"/>
            <wp:docPr id="8" name="Рисунок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/>
        <w:drawing>
          <wp:inline distT="0" distB="0" distL="0" distR="0">
            <wp:extent cx="5038090" cy="3780155"/>
            <wp:effectExtent l="0" t="0" r="0" b="0"/>
            <wp:docPr id="9" name="Рисунок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  <w:t>Фотоотчет №7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/>
        <w:drawing>
          <wp:inline distT="0" distB="1905" distL="0" distR="3175">
            <wp:extent cx="5940425" cy="4456430"/>
            <wp:effectExtent l="0" t="0" r="0" b="0"/>
            <wp:docPr id="10" name="Рисунок 2" descr="C:\Users\Александр\AppData\Local\Temp\Rar$DIa1520.14674\IMG_20210413_15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" descr="C:\Users\Александр\AppData\Local\Temp\Rar$DIa1520.14674\IMG_20210413_1534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  <w:t>Фотоотчет №8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/>
        <w:drawing>
          <wp:inline distT="0" distB="6350" distL="0" distR="3175">
            <wp:extent cx="5940425" cy="7919085"/>
            <wp:effectExtent l="0" t="0" r="0" b="0"/>
            <wp:docPr id="11" name="Рисунок 8" descr="C:\Users\Александр\AppData\Local\Temp\Rar$DIa1520.46458\IMG_20210413_15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8" descr="C:\Users\Александр\AppData\Local\Temp\Rar$DIa1520.46458\IMG_20210413_15572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  <w:t>Фотоотчет №9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/>
        <w:drawing>
          <wp:inline distT="0" distB="2540" distL="0" distR="0">
            <wp:extent cx="5278755" cy="3959860"/>
            <wp:effectExtent l="0" t="0" r="0" b="0"/>
            <wp:docPr id="12" name="Рисунок 6" descr="C:\Users\Александр\AppData\Local\Temp\Rar$DIa1520.34374\IMG_20210413_15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6" descr="C:\Users\Александр\AppData\Local\Temp\Rar$DIa1520.34374\IMG_20210413_15495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/>
        <w:drawing>
          <wp:inline distT="0" distB="635" distL="0" distR="0">
            <wp:extent cx="5222875" cy="3924300"/>
            <wp:effectExtent l="0" t="0" r="0" b="0"/>
            <wp:docPr id="13" name="Рисунок 16" descr="F:\папка Линекс\марлбс\IMG_20210419_07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6" descr="F:\папка Линекс\марлбс\IMG_20210419_07185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  <w:t>Фотоотчет №10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/>
        <w:drawing>
          <wp:inline distT="0" distB="1905" distL="0" distR="3175">
            <wp:extent cx="5940425" cy="4456430"/>
            <wp:effectExtent l="0" t="0" r="0" b="0"/>
            <wp:docPr id="14" name="Рисунок 5" descr="C:\Users\Александр\AppData\Local\Temp\Rar$DIa1520.27708\IMG_20210413_15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5" descr="C:\Users\Александр\AppData\Local\Temp\Rar$DIa1520.27708\IMG_20210413_15491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  <w:t>Фотоотчет №11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/>
        <w:drawing>
          <wp:inline distT="0" distB="635" distL="0" distR="3810">
            <wp:extent cx="2701290" cy="3599815"/>
            <wp:effectExtent l="0" t="0" r="0" b="0"/>
            <wp:docPr id="15" name="Рисунок 12" descr="F:\папка Линекс\марлбс\IMG_20210419_07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2" descr="F:\папка Линекс\марлбс\IMG_20210419_07060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right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  <w:t>Фотоотчет №12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28"/>
        </w:rPr>
      </w:pPr>
      <w:r>
        <w:rPr/>
        <w:drawing>
          <wp:inline distT="0" distB="635" distL="0" distR="3810">
            <wp:extent cx="2701290" cy="3599815"/>
            <wp:effectExtent l="0" t="0" r="0" b="0"/>
            <wp:docPr id="16" name="Рисунок 13" descr="F:\папка Линекс\марлбс\IMG_20210419_07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3" descr="F:\папка Линекс\марлбс\IMG_20210419_07102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jc w:val="center"/>
        <w:rPr/>
      </w:pPr>
      <w:r>
        <w:rPr/>
      </w:r>
    </w:p>
    <w:sectPr>
      <w:footerReference w:type="default" r:id="rId18"/>
      <w:type w:val="nextPage"/>
      <w:pgSz w:w="11906" w:h="16838"/>
      <w:pgMar w:left="1701" w:right="850" w:header="0" w:top="1134" w:footer="708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Wingdings">
    <w:charset w:val="02"/>
    <w:family w:val="auto"/>
    <w:pitch w:val="default"/>
  </w:font>
  <w:font w:name="Courier New">
    <w:charset w:val="01"/>
    <w:family w:val="auto"/>
    <w:pitch w:val="fixed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199782127"/>
    </w:sdtPr>
    <w:sdtContent>
      <w:p>
        <w:pPr>
          <w:pStyle w:val="Style23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0</w:t>
        </w:r>
        <w:r>
          <w:rPr/>
          <w:fldChar w:fldCharType="end"/>
        </w:r>
      </w:p>
    </w:sdtContent>
  </w:sdt>
  <w:p>
    <w:pPr>
      <w:pStyle w:val="Style23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86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c61bcf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link w:val="a7"/>
    <w:uiPriority w:val="99"/>
    <w:qFormat/>
    <w:rsid w:val="00876929"/>
    <w:rPr/>
  </w:style>
  <w:style w:type="character" w:styleId="Style16" w:customStyle="1">
    <w:name w:val="Нижний колонтитул Знак"/>
    <w:basedOn w:val="DefaultParagraphFont"/>
    <w:link w:val="a9"/>
    <w:uiPriority w:val="99"/>
    <w:qFormat/>
    <w:rsid w:val="00876929"/>
    <w:rPr/>
  </w:style>
  <w:style w:type="character" w:styleId="ListLabel1">
    <w:name w:val="ListLabel 1"/>
    <w:qFormat/>
    <w:rPr>
      <w:sz w:val="20"/>
    </w:rPr>
  </w:style>
  <w:style w:type="character" w:styleId="ListLabel2">
    <w:name w:val="ListLabel 2"/>
    <w:qFormat/>
    <w:rPr>
      <w:sz w:val="20"/>
    </w:rPr>
  </w:style>
  <w:style w:type="character" w:styleId="ListLabel3">
    <w:name w:val="ListLabel 3"/>
    <w:qFormat/>
    <w:rPr>
      <w:sz w:val="20"/>
    </w:rPr>
  </w:style>
  <w:style w:type="character" w:styleId="ListLabel4">
    <w:name w:val="ListLabel 4"/>
    <w:qFormat/>
    <w:rPr>
      <w:sz w:val="20"/>
    </w:rPr>
  </w:style>
  <w:style w:type="character" w:styleId="ListLabel5">
    <w:name w:val="ListLabel 5"/>
    <w:qFormat/>
    <w:rPr>
      <w:sz w:val="20"/>
    </w:rPr>
  </w:style>
  <w:style w:type="character" w:styleId="ListLabel6">
    <w:name w:val="ListLabel 6"/>
    <w:qFormat/>
    <w:rPr>
      <w:sz w:val="20"/>
    </w:rPr>
  </w:style>
  <w:style w:type="character" w:styleId="ListLabel7">
    <w:name w:val="ListLabel 7"/>
    <w:qFormat/>
    <w:rPr>
      <w:sz w:val="20"/>
    </w:rPr>
  </w:style>
  <w:style w:type="character" w:styleId="ListLabel8">
    <w:name w:val="ListLabel 8"/>
    <w:qFormat/>
    <w:rPr>
      <w:sz w:val="20"/>
    </w:rPr>
  </w:style>
  <w:style w:type="character" w:styleId="ListLabel9">
    <w:name w:val="ListLabel 9"/>
    <w:qFormat/>
    <w:rPr>
      <w:sz w:val="20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FreeSans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FreeSans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c61bcf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27a7"/>
    <w:pPr>
      <w:spacing w:before="0" w:after="200"/>
      <w:ind w:left="720" w:hanging="0"/>
      <w:contextualSpacing/>
    </w:pPr>
    <w:rPr/>
  </w:style>
  <w:style w:type="paragraph" w:styleId="Style22">
    <w:name w:val="Header"/>
    <w:basedOn w:val="Normal"/>
    <w:link w:val="a8"/>
    <w:uiPriority w:val="99"/>
    <w:unhideWhenUsed/>
    <w:rsid w:val="00876929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3">
    <w:name w:val="Footer"/>
    <w:basedOn w:val="Normal"/>
    <w:link w:val="aa"/>
    <w:uiPriority w:val="99"/>
    <w:unhideWhenUsed/>
    <w:rsid w:val="00876929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c61bcf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footer" Target="footer1.xml"/><Relationship Id="rId19" Type="http://schemas.openxmlformats.org/officeDocument/2006/relationships/numbering" Target="numbering.xml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<Relationship Id="rId23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35E2E1-FEF3-4A5C-AB94-B0D33441A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Application>LibreOffice/6.1.5.2$Linux_X86_64 LibreOffice_project/10$Build-2</Application>
  <Pages>21</Pages>
  <Words>1885</Words>
  <Characters>12695</Characters>
  <CharactersWithSpaces>14595</CharactersWithSpaces>
  <Paragraphs>203</Paragraphs>
  <Company>Krokoz™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2021-03-14T08:53:00Z</dcterms:created>
  <dc:creator>Александр</dc:creator>
  <dc:description/>
  <dc:language>ru-RU</dc:language>
  <cp:lastModifiedBy/>
  <dcterms:modified xsi:type="dcterms:W3CDTF">2023-12-13T20:36:22Z</dcterms:modified>
  <cp:revision>20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Krokoz™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