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D18A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D18A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D18A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D18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D18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D18A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D18AB" w:rsidRPr="00ED18AB">
        <w:rPr>
          <w:rFonts w:hAnsi="Cambria" w:cs="Calibri"/>
          <w:b/>
          <w:sz w:val="24"/>
          <w:szCs w:val="24"/>
        </w:rPr>
        <w:t>Лучшая</w:t>
      </w:r>
      <w:r w:rsidR="00ED18AB" w:rsidRPr="00ED18AB">
        <w:rPr>
          <w:rFonts w:hAnsi="Cambria" w:cs="Calibri"/>
          <w:b/>
          <w:sz w:val="24"/>
          <w:szCs w:val="24"/>
        </w:rPr>
        <w:t xml:space="preserve"> </w:t>
      </w:r>
      <w:r w:rsidR="00ED18AB" w:rsidRPr="00ED18AB">
        <w:rPr>
          <w:rFonts w:hAnsi="Cambria" w:cs="Calibri"/>
          <w:b/>
          <w:sz w:val="24"/>
          <w:szCs w:val="24"/>
        </w:rPr>
        <w:t>студенческая</w:t>
      </w:r>
      <w:r w:rsidR="00ED18AB" w:rsidRPr="00ED18AB">
        <w:rPr>
          <w:rFonts w:hAnsi="Cambria" w:cs="Calibri"/>
          <w:b/>
          <w:sz w:val="24"/>
          <w:szCs w:val="24"/>
        </w:rPr>
        <w:t xml:space="preserve"> </w:t>
      </w:r>
      <w:r w:rsidR="00ED18AB" w:rsidRPr="00ED18AB">
        <w:rPr>
          <w:rFonts w:hAnsi="Cambria" w:cs="Calibri"/>
          <w:b/>
          <w:sz w:val="24"/>
          <w:szCs w:val="24"/>
        </w:rPr>
        <w:t>презентация</w:t>
      </w:r>
      <w:r w:rsidR="00ED18AB" w:rsidRPr="00ED18AB">
        <w:rPr>
          <w:rFonts w:hAnsi="Cambria" w:cs="Calibri"/>
          <w:b/>
          <w:sz w:val="24"/>
          <w:szCs w:val="24"/>
        </w:rPr>
        <w:t xml:space="preserve"> 2023-2024 </w:t>
      </w:r>
      <w:r w:rsidR="00ED18AB" w:rsidRPr="00ED18AB">
        <w:rPr>
          <w:rFonts w:hAnsi="Cambria" w:cs="Calibri"/>
          <w:b/>
          <w:sz w:val="24"/>
          <w:szCs w:val="24"/>
        </w:rPr>
        <w:t>учебного</w:t>
      </w:r>
      <w:r w:rsidR="00ED18AB" w:rsidRPr="00ED18AB">
        <w:rPr>
          <w:rFonts w:hAnsi="Cambria" w:cs="Calibri"/>
          <w:b/>
          <w:sz w:val="24"/>
          <w:szCs w:val="24"/>
        </w:rPr>
        <w:t xml:space="preserve"> </w:t>
      </w:r>
      <w:r w:rsidR="00ED18AB" w:rsidRPr="00ED18AB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D18AB" w:rsidRDefault="00ED18AB" w:rsidP="00ED18AB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>ГБПОУ РО «</w:t>
            </w:r>
            <w:proofErr w:type="spellStart"/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>Аксайский</w:t>
            </w:r>
            <w:proofErr w:type="spellEnd"/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технологический техникум», Ростовская область, </w:t>
            </w:r>
            <w:proofErr w:type="gramStart"/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>. Аксай</w:t>
            </w:r>
          </w:p>
        </w:tc>
        <w:tc>
          <w:tcPr>
            <w:tcW w:w="3510" w:type="dxa"/>
            <w:shd w:val="clear" w:color="auto" w:fill="FFFFFF" w:themeFill="background1"/>
          </w:tcPr>
          <w:p w:rsidR="00ED18AB" w:rsidRPr="00ED18AB" w:rsidRDefault="00ED18AB" w:rsidP="00ED18AB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>Тюкина</w:t>
            </w:r>
            <w:proofErr w:type="spellEnd"/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Владимировна</w:t>
            </w:r>
          </w:p>
          <w:p w:rsidR="00ED18AB" w:rsidRPr="00ED18AB" w:rsidRDefault="00ED18AB" w:rsidP="00ED18AB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>Гришина Татьяна Владимировна, Фогель Юрий</w:t>
            </w:r>
          </w:p>
          <w:p w:rsidR="00B67466" w:rsidRPr="00ED18AB" w:rsidRDefault="00ED18AB" w:rsidP="00ED18A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ED18AB">
              <w:rPr>
                <w:rFonts w:asciiTheme="majorHAnsi" w:hAnsiTheme="majorHAnsi" w:cstheme="minorHAnsi"/>
                <w:b/>
                <w:sz w:val="24"/>
                <w:szCs w:val="24"/>
              </w:rPr>
              <w:t>Коваленко Александр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58A9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18AB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FE00-D324-48D4-8432-3F7BD119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2023-11-17T08:32:00Z</dcterms:modified>
</cp:coreProperties>
</file>