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1202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12025" w:rsidRPr="00F12025">
        <w:rPr>
          <w:rFonts w:cs="Calibri"/>
          <w:b/>
          <w:sz w:val="20"/>
          <w:szCs w:val="20"/>
        </w:rPr>
        <w:t>Использование презентации в образовательной деятельности ДОУ и ДОД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1202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№28 «Вишенка»</w:t>
            </w:r>
            <w:r w:rsidR="00592A2F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Кемеровская область, город Междуреченск</w:t>
            </w:r>
          </w:p>
        </w:tc>
        <w:tc>
          <w:tcPr>
            <w:tcW w:w="3951" w:type="dxa"/>
          </w:tcPr>
          <w:p w:rsidR="00202519" w:rsidRPr="00FA49A1" w:rsidRDefault="00F12025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Гейнц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2393" w:type="dxa"/>
          </w:tcPr>
          <w:p w:rsidR="00A41A57" w:rsidRPr="00FA49A1" w:rsidRDefault="00F1202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BC05-8FD0-461C-80BB-F58E3555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174</cp:revision>
  <dcterms:created xsi:type="dcterms:W3CDTF">2016-12-03T05:02:00Z</dcterms:created>
  <dcterms:modified xsi:type="dcterms:W3CDTF">2020-11-17T08:53:00Z</dcterms:modified>
</cp:coreProperties>
</file>