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C2FB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C2FB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C2FB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C2FB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C2FB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551B0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51B00" w:rsidRPr="00551B00">
        <w:rPr>
          <w:rFonts w:hAnsi="Cambria" w:cs="Calibri"/>
          <w:b/>
          <w:sz w:val="24"/>
          <w:szCs w:val="24"/>
        </w:rPr>
        <w:t>Лучшая</w:t>
      </w:r>
      <w:r w:rsidR="00551B00" w:rsidRPr="00551B00">
        <w:rPr>
          <w:rFonts w:hAnsi="Cambria" w:cs="Calibri"/>
          <w:b/>
          <w:sz w:val="24"/>
          <w:szCs w:val="24"/>
        </w:rPr>
        <w:t xml:space="preserve"> </w:t>
      </w:r>
      <w:r w:rsidR="00551B00" w:rsidRPr="00551B00">
        <w:rPr>
          <w:rFonts w:hAnsi="Cambria" w:cs="Calibri"/>
          <w:b/>
          <w:sz w:val="24"/>
          <w:szCs w:val="24"/>
        </w:rPr>
        <w:t>консультация</w:t>
      </w:r>
      <w:r w:rsidR="00551B00" w:rsidRPr="00551B00">
        <w:rPr>
          <w:rFonts w:hAnsi="Cambria" w:cs="Calibri"/>
          <w:b/>
          <w:sz w:val="24"/>
          <w:szCs w:val="24"/>
        </w:rPr>
        <w:t xml:space="preserve"> </w:t>
      </w:r>
      <w:r w:rsidR="00551B00" w:rsidRPr="00551B00">
        <w:rPr>
          <w:rFonts w:hAnsi="Cambria" w:cs="Calibri"/>
          <w:b/>
          <w:sz w:val="24"/>
          <w:szCs w:val="24"/>
        </w:rPr>
        <w:t>для</w:t>
      </w:r>
      <w:r w:rsidR="00551B00" w:rsidRPr="00551B00">
        <w:rPr>
          <w:rFonts w:hAnsi="Cambria" w:cs="Calibri"/>
          <w:b/>
          <w:sz w:val="24"/>
          <w:szCs w:val="24"/>
        </w:rPr>
        <w:t xml:space="preserve"> </w:t>
      </w:r>
      <w:r w:rsidR="00551B00" w:rsidRPr="00551B00">
        <w:rPr>
          <w:rFonts w:hAnsi="Cambria" w:cs="Calibri"/>
          <w:b/>
          <w:sz w:val="24"/>
          <w:szCs w:val="24"/>
        </w:rPr>
        <w:t>родителей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ayout w:type="fixed"/>
        <w:tblLook w:val="04A0"/>
      </w:tblPr>
      <w:tblGrid>
        <w:gridCol w:w="392"/>
        <w:gridCol w:w="3685"/>
        <w:gridCol w:w="3510"/>
        <w:gridCol w:w="1984"/>
      </w:tblGrid>
      <w:tr w:rsidR="00B65AAB" w:rsidTr="00551B00">
        <w:trPr>
          <w:trHeight w:val="541"/>
        </w:trPr>
        <w:tc>
          <w:tcPr>
            <w:tcW w:w="3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85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51B00">
        <w:tc>
          <w:tcPr>
            <w:tcW w:w="392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551B00" w:rsidRPr="00551B00" w:rsidRDefault="00551B00" w:rsidP="00551B00">
            <w:pPr>
              <w:shd w:val="clear" w:color="auto" w:fill="FFFFFF"/>
              <w:spacing w:line="276" w:lineRule="auto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551B00">
              <w:rPr>
                <w:rFonts w:asciiTheme="majorHAnsi" w:eastAsia="Calibri" w:hAnsiTheme="majorHAnsi" w:cs="Calibri"/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B65AAB" w:rsidRPr="00551B00" w:rsidRDefault="00551B00" w:rsidP="00551B0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51B00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«Детский сад </w:t>
            </w:r>
            <w:proofErr w:type="spellStart"/>
            <w:r w:rsidRPr="00551B00">
              <w:rPr>
                <w:rFonts w:asciiTheme="majorHAnsi" w:eastAsia="Calibri" w:hAnsiTheme="majorHAnsi" w:cs="Calibri"/>
                <w:b/>
                <w:sz w:val="24"/>
                <w:szCs w:val="24"/>
              </w:rPr>
              <w:t>общеразвивающего</w:t>
            </w:r>
            <w:proofErr w:type="spellEnd"/>
            <w:r w:rsidRPr="00551B00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вида №2 «Родничок», Курганская область, город Шадринск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551B00" w:rsidRDefault="00551B00" w:rsidP="00551B00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51B00">
              <w:rPr>
                <w:rFonts w:asciiTheme="majorHAnsi" w:eastAsia="Calibri" w:hAnsiTheme="majorHAnsi" w:cs="Calibri"/>
                <w:b/>
                <w:sz w:val="24"/>
                <w:szCs w:val="24"/>
              </w:rPr>
              <w:t>Минина Маргарита Андреевна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551B0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D01380"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551B00" w:rsidRDefault="00551B00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50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29E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1B00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9EB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2FB4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1CDF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3020-F1B0-4663-84AA-F6DBA037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687</cp:revision>
  <dcterms:created xsi:type="dcterms:W3CDTF">2014-07-03T15:28:00Z</dcterms:created>
  <dcterms:modified xsi:type="dcterms:W3CDTF">2023-09-26T04:36:00Z</dcterms:modified>
</cp:coreProperties>
</file>