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A4AF9">
        <w:rPr>
          <w:rFonts w:asciiTheme="minorHAnsi" w:hAnsiTheme="minorHAnsi" w:cstheme="minorHAnsi"/>
          <w:b/>
          <w:sz w:val="20"/>
          <w:szCs w:val="20"/>
        </w:rPr>
        <w:t>4</w:t>
      </w:r>
      <w:r w:rsidR="00AE4B18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A4AF9" w:rsidRPr="007A4AF9">
        <w:rPr>
          <w:rFonts w:ascii="Cambria" w:hAnsi="Cambria" w:cs="Arial"/>
          <w:b/>
          <w:sz w:val="24"/>
          <w:szCs w:val="24"/>
        </w:rPr>
        <w:t>Конкурс сочинений «Золотое перо»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7A4AF9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Абатская СОШ №1, Тюменская область, Абатский район, с. Абатское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7A4AF9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Марашова Ирина Викторовна, Сильнягина Ксения Семёновна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19EE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A71A9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4AF9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4B18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0ABC-F836-4DB9-8006-4E6A892E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404</cp:revision>
  <dcterms:created xsi:type="dcterms:W3CDTF">2014-07-03T15:28:00Z</dcterms:created>
  <dcterms:modified xsi:type="dcterms:W3CDTF">2022-09-19T08:45:00Z</dcterms:modified>
</cp:coreProperties>
</file>