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8273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82731" w:rsidRPr="00B82731">
        <w:rPr>
          <w:rFonts w:eastAsia="Calibri" w:cstheme="minorHAnsi"/>
          <w:b/>
          <w:sz w:val="24"/>
          <w:szCs w:val="24"/>
        </w:rPr>
        <w:t>Игровые технологии – средство мотивации к обучению и воспитанию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B82731" w:rsidRDefault="00B82731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82731">
              <w:rPr>
                <w:rFonts w:eastAsia="Calibri"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B82731" w:rsidRDefault="00B82731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2731">
              <w:rPr>
                <w:rFonts w:eastAsia="Calibri" w:cstheme="minorHAnsi"/>
                <w:b/>
                <w:sz w:val="24"/>
                <w:szCs w:val="24"/>
              </w:rPr>
              <w:t>Чистякова Любовь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05C9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08F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2153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2731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94D1-E3AA-468C-AAE3-82F19956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2026-04-18T05:06:00Z</dcterms:created>
  <dcterms:modified xsi:type="dcterms:W3CDTF">2026-06-25T08:37:00Z</dcterms:modified>
</cp:coreProperties>
</file>