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B250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B250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B250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B250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B250C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B250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B250C" w:rsidRPr="006B250C">
        <w:rPr>
          <w:rFonts w:cstheme="minorHAnsi"/>
          <w:b/>
          <w:sz w:val="24"/>
          <w:szCs w:val="24"/>
        </w:rPr>
        <w:t>Лучшие практики применения ИКТ - технологий в работе педагога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6B250C" w:rsidRDefault="006B250C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B250C">
              <w:rPr>
                <w:rFonts w:cstheme="minorHAnsi"/>
                <w:b/>
                <w:sz w:val="24"/>
                <w:szCs w:val="24"/>
              </w:rPr>
              <w:t>МАОУ Гимназия №1</w:t>
            </w:r>
          </w:p>
          <w:p w:rsidR="006B250C" w:rsidRPr="006B250C" w:rsidRDefault="006B250C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B250C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6B250C" w:rsidRDefault="006B250C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B250C">
              <w:rPr>
                <w:rFonts w:cstheme="minorHAnsi"/>
                <w:b/>
                <w:sz w:val="24"/>
                <w:szCs w:val="24"/>
              </w:rPr>
              <w:t>Троицкая Валентина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1B79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9581F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50C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319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C1F59-E137-4DEF-97C9-670BB95F0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2025-06-23T07:37:00Z</dcterms:modified>
</cp:coreProperties>
</file>