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60C3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60C30" w:rsidRPr="00060C3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Игровые технологии как средство развития ребёнка в ДОУ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060C30" w:rsidRDefault="00060C30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0C30">
              <w:rPr>
                <w:rFonts w:cstheme="minorHAnsi"/>
                <w:b/>
                <w:sz w:val="24"/>
                <w:szCs w:val="24"/>
              </w:rPr>
              <w:t>Детский сад №174 ОАО «РЖД»,</w:t>
            </w:r>
          </w:p>
          <w:p w:rsidR="00060C30" w:rsidRPr="00060C30" w:rsidRDefault="00060C30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60C30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060C3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60C30">
              <w:rPr>
                <w:rFonts w:cstheme="minorHAnsi"/>
                <w:b/>
                <w:sz w:val="24"/>
                <w:szCs w:val="24"/>
              </w:rPr>
              <w:t>. Новокузнецк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060C30" w:rsidRDefault="00060C30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60C30">
              <w:rPr>
                <w:rFonts w:cstheme="minorHAnsi"/>
                <w:b/>
                <w:sz w:val="24"/>
                <w:szCs w:val="24"/>
              </w:rPr>
              <w:t>Селькова Елена Олеговна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0C30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4D45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52EC3-2C3C-4998-9948-29196B7A2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2024-06-18T13:15:00Z</dcterms:modified>
</cp:coreProperties>
</file>