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2600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404C2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404C2" w:rsidRPr="001404C2">
        <w:rPr>
          <w:rFonts w:asciiTheme="majorHAnsi" w:hAnsiTheme="majorHAnsi" w:cs="Arial"/>
          <w:b/>
        </w:rPr>
        <w:t>Роль театрализованной деятельности в развитии детей дошкольного возраста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1404C2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МКДОУ детский сад № 193, г. Новосибирск</w:t>
            </w:r>
          </w:p>
        </w:tc>
        <w:tc>
          <w:tcPr>
            <w:tcW w:w="3710" w:type="dxa"/>
          </w:tcPr>
          <w:p w:rsidR="00EE5A51" w:rsidRPr="001534B6" w:rsidRDefault="001404C2" w:rsidP="00EE5A5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Рагулина Ольга Анатольевна, Воспитанники подготовительной к школе группы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4C2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5B39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8536-C1A5-4DCD-A480-051D8065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403</cp:revision>
  <dcterms:created xsi:type="dcterms:W3CDTF">2016-12-03T05:02:00Z</dcterms:created>
  <dcterms:modified xsi:type="dcterms:W3CDTF">2022-01-19T18:42:00Z</dcterms:modified>
</cp:coreProperties>
</file>