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66E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66EC1" w:rsidRPr="00666EC1">
        <w:rPr>
          <w:rFonts w:asciiTheme="majorHAnsi" w:hAnsiTheme="majorHAnsi" w:cs="Arial"/>
          <w:b/>
        </w:rPr>
        <w:t>Всероссийский конкурс творческих работ учащихся «Гордость России»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666EC1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33AD3">
              <w:rPr>
                <w:rFonts w:cstheme="minorHAnsi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  <w:r>
              <w:rPr>
                <w:rFonts w:cstheme="minorHAnsi"/>
                <w:sz w:val="20"/>
                <w:szCs w:val="20"/>
              </w:rPr>
              <w:t xml:space="preserve"> (ГГУ)</w:t>
            </w:r>
          </w:p>
        </w:tc>
        <w:tc>
          <w:tcPr>
            <w:tcW w:w="3710" w:type="dxa"/>
          </w:tcPr>
          <w:p w:rsidR="008B1A08" w:rsidRPr="00E8666E" w:rsidRDefault="00666EC1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Первозванская Ольга Антоновна, Измайлова Мария Романовна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64D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6EC1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46D1-CDD7-4525-9E17-C13939AC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2016-12-03T05:02:00Z</dcterms:created>
  <dcterms:modified xsi:type="dcterms:W3CDTF">2022-06-14T13:48:00Z</dcterms:modified>
</cp:coreProperties>
</file>