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E663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E663E" w:rsidRPr="00FE663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Таланты России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E663E" w:rsidRDefault="00FE663E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E663E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FE663E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FE663E">
              <w:rPr>
                <w:rFonts w:cstheme="minorHAnsi"/>
                <w:b/>
                <w:sz w:val="24"/>
                <w:szCs w:val="24"/>
              </w:rPr>
              <w:t>/с №436,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E663E" w:rsidRDefault="00FE663E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E663E">
              <w:rPr>
                <w:rFonts w:cstheme="minorHAnsi"/>
                <w:b/>
                <w:sz w:val="24"/>
                <w:szCs w:val="24"/>
              </w:rPr>
              <w:t>Самочернова</w:t>
            </w:r>
            <w:proofErr w:type="spellEnd"/>
            <w:r w:rsidRPr="00FE663E">
              <w:rPr>
                <w:rFonts w:cstheme="minorHAnsi"/>
                <w:b/>
                <w:sz w:val="24"/>
                <w:szCs w:val="24"/>
              </w:rPr>
              <w:t xml:space="preserve"> Оксана Анатольевна, Вокально-хореографический ансамбль «Тополек»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6231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663E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D3D88-E214-45CA-8189-A156D9557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2024-03-15T09:17:00Z</dcterms:modified>
</cp:coreProperties>
</file>