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2667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2667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2667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2667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2667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2667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26675" w:rsidRPr="00A26675">
        <w:rPr>
          <w:rFonts w:cstheme="minorHAnsi"/>
          <w:b/>
          <w:sz w:val="24"/>
        </w:rPr>
        <w:t>Лучшая педагогическая статья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A26675" w:rsidRDefault="00A26675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26675">
              <w:rPr>
                <w:rFonts w:cstheme="minorHAnsi"/>
                <w:b/>
                <w:sz w:val="24"/>
                <w:szCs w:val="24"/>
              </w:rPr>
              <w:t>Иркутский филиал МГТУ ГА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A26675" w:rsidRDefault="00A26675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6675">
              <w:rPr>
                <w:rFonts w:cstheme="minorHAnsi"/>
                <w:b/>
                <w:sz w:val="24"/>
                <w:szCs w:val="24"/>
              </w:rPr>
              <w:t>Коркина Татьяна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2F73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6675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E2996-1784-4714-AAF0-563FF966E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2024-11-02T11:50:00Z</dcterms:modified>
</cp:coreProperties>
</file>