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818C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818C0" w:rsidRPr="004818C0">
        <w:rPr>
          <w:rFonts w:cstheme="minorHAnsi"/>
          <w:b/>
          <w:sz w:val="24"/>
          <w:szCs w:val="24"/>
        </w:rPr>
        <w:t>Гражданское и нравственно-патриотическое воспитание обучающихся в условиях СПО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  <w:proofErr w:type="gramEnd"/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4818C0" w:rsidRDefault="004818C0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818C0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4818C0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4818C0">
              <w:rPr>
                <w:rFonts w:cstheme="minorHAnsi"/>
                <w:b/>
                <w:sz w:val="24"/>
                <w:szCs w:val="24"/>
              </w:rPr>
              <w:t xml:space="preserve"> «Жигулевский государственный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4818C0" w:rsidRDefault="004818C0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818C0">
              <w:rPr>
                <w:rFonts w:cstheme="minorHAnsi"/>
                <w:b/>
                <w:sz w:val="24"/>
                <w:szCs w:val="24"/>
              </w:rPr>
              <w:t>Алексеева Ольга Витальевна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18C0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587E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1BE5-8277-4C80-97CD-82F44431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2025-07-01T08:48:00Z</dcterms:modified>
</cp:coreProperties>
</file>