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D498B">
        <w:rPr>
          <w:rFonts w:asciiTheme="minorHAnsi" w:hAnsiTheme="minorHAnsi" w:cstheme="minorHAnsi"/>
          <w:b/>
          <w:sz w:val="20"/>
          <w:szCs w:val="20"/>
        </w:rPr>
        <w:t>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D498B" w:rsidRPr="00DD498B">
        <w:rPr>
          <w:rFonts w:ascii="Cambria" w:hAnsi="Cambria" w:cs="Arial"/>
          <w:b/>
          <w:sz w:val="24"/>
          <w:szCs w:val="24"/>
        </w:rPr>
        <w:t>Выжигание, выпиливание и резьба по дереву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DD498B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052F0">
              <w:rPr>
                <w:rFonts w:asciiTheme="majorHAnsi" w:hAnsiTheme="majorHAnsi" w:cstheme="minorHAnsi"/>
              </w:rPr>
              <w:t>МБУ ДО ДЮЦ «Созвездие»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DD498B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Турова Татьяна Александровна, Пальчевская Алина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B7F7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498B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C6A1-01F5-4614-99DC-9255BBA4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614</cp:revision>
  <dcterms:created xsi:type="dcterms:W3CDTF">2014-07-03T15:28:00Z</dcterms:created>
  <dcterms:modified xsi:type="dcterms:W3CDTF">2023-05-31T11:14:00Z</dcterms:modified>
</cp:coreProperties>
</file>