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F30F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AD46F9">
        <w:rPr>
          <w:rFonts w:asciiTheme="minorHAnsi" w:hAnsiTheme="minorHAnsi" w:cstheme="minorHAnsi"/>
          <w:b/>
          <w:sz w:val="20"/>
          <w:szCs w:val="20"/>
        </w:rPr>
        <w:t>2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F30FE" w:rsidRPr="007F30FE">
        <w:rPr>
          <w:rFonts w:ascii="Cambria" w:hAnsi="Cambria" w:cs="Arial"/>
          <w:b/>
          <w:sz w:val="24"/>
          <w:szCs w:val="24"/>
        </w:rPr>
        <w:t>Лэпбук как средство обучения в условиях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7D93" w:rsidRDefault="007F30FE" w:rsidP="00DA7D9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«Детский сад № 36 «Улыбка», Кемеровская область, г.Междуреченск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7D93" w:rsidRDefault="007F30FE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Мельман Екатерина Константиновна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0FE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38F0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4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0BF53-557B-4DF6-90D8-5EEE0CDB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583</cp:revision>
  <dcterms:created xsi:type="dcterms:W3CDTF">2014-07-03T15:28:00Z</dcterms:created>
  <dcterms:modified xsi:type="dcterms:W3CDTF">2023-04-26T15:07:00Z</dcterms:modified>
</cp:coreProperties>
</file>