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29" w:rsidRPr="00AF3AF2" w:rsidRDefault="00AF3AF2" w:rsidP="002E2329">
      <w:pPr>
        <w:pStyle w:val="a4"/>
        <w:jc w:val="center"/>
        <w:rPr>
          <w:rFonts w:ascii="Times New Roman" w:hAnsi="Times New Roman" w:cs="Times New Roman"/>
          <w:sz w:val="24"/>
          <w:szCs w:val="24"/>
          <w:shd w:val="clear" w:color="auto" w:fill="FFFFFF"/>
        </w:rPr>
      </w:pPr>
      <w:r w:rsidRPr="00AF3AF2">
        <w:rPr>
          <w:rFonts w:ascii="Times New Roman" w:hAnsi="Times New Roman" w:cs="Times New Roman"/>
          <w:sz w:val="24"/>
          <w:szCs w:val="24"/>
          <w:shd w:val="clear" w:color="auto" w:fill="FFFFFF"/>
        </w:rPr>
        <w:t>РЕСУРСНЫЙ</w:t>
      </w:r>
      <w:r w:rsidRPr="00AF3AF2">
        <w:rPr>
          <w:rFonts w:ascii="Times New Roman" w:hAnsi="Times New Roman" w:cs="Times New Roman"/>
          <w:sz w:val="24"/>
          <w:szCs w:val="24"/>
          <w:shd w:val="clear" w:color="auto" w:fill="FFFFFF"/>
          <w:lang w:val="en-US"/>
        </w:rPr>
        <w:t> </w:t>
      </w:r>
      <w:r w:rsidRPr="00AF3AF2">
        <w:rPr>
          <w:rFonts w:ascii="Times New Roman" w:hAnsi="Times New Roman" w:cs="Times New Roman"/>
          <w:sz w:val="24"/>
          <w:szCs w:val="24"/>
          <w:shd w:val="clear" w:color="auto" w:fill="FFFFFF"/>
        </w:rPr>
        <w:t>ПОДХОД КАК СПОСОБ ПОВЫШЕНИЯ СТРАТЕГИЧЕСКОГО ПОТЕНЦИАЛА ДОШКОЛЬНОЙ ОБРАЗОВАТЕЛЬНОЙ ОРГАНИЗАЦИИ</w:t>
      </w:r>
    </w:p>
    <w:p w:rsidR="00AF3AF2" w:rsidRDefault="00AF3AF2" w:rsidP="002E2329">
      <w:pPr>
        <w:pStyle w:val="a4"/>
        <w:jc w:val="center"/>
        <w:rPr>
          <w:rFonts w:ascii="Times New Roman" w:hAnsi="Times New Roman" w:cs="Times New Roman"/>
          <w:sz w:val="28"/>
          <w:szCs w:val="28"/>
          <w:shd w:val="clear" w:color="auto" w:fill="FFFFFF"/>
        </w:rPr>
      </w:pPr>
    </w:p>
    <w:p w:rsidR="00AF3AF2" w:rsidRPr="00AF3AF2" w:rsidRDefault="00AF3AF2" w:rsidP="00AF3AF2">
      <w:pPr>
        <w:pStyle w:val="a4"/>
        <w:jc w:val="right"/>
        <w:rPr>
          <w:rFonts w:ascii="Times New Roman" w:hAnsi="Times New Roman" w:cs="Times New Roman"/>
          <w:i/>
          <w:color w:val="0D0D0D"/>
          <w:sz w:val="28"/>
          <w:szCs w:val="28"/>
        </w:rPr>
      </w:pPr>
      <w:r w:rsidRPr="00AF3AF2">
        <w:rPr>
          <w:rFonts w:ascii="Times New Roman" w:hAnsi="Times New Roman" w:cs="Times New Roman"/>
          <w:i/>
          <w:sz w:val="28"/>
          <w:szCs w:val="28"/>
          <w:shd w:val="clear" w:color="auto" w:fill="FFFFFF"/>
        </w:rPr>
        <w:t xml:space="preserve">Поклонская П.Н., </w:t>
      </w:r>
      <w:proofErr w:type="spellStart"/>
      <w:r w:rsidRPr="00AF3AF2">
        <w:rPr>
          <w:rFonts w:ascii="Times New Roman" w:hAnsi="Times New Roman" w:cs="Times New Roman"/>
          <w:i/>
          <w:sz w:val="28"/>
          <w:szCs w:val="28"/>
          <w:shd w:val="clear" w:color="auto" w:fill="FFFFFF"/>
        </w:rPr>
        <w:t>Потылицина</w:t>
      </w:r>
      <w:proofErr w:type="spellEnd"/>
      <w:r w:rsidRPr="00AF3AF2">
        <w:rPr>
          <w:rFonts w:ascii="Times New Roman" w:hAnsi="Times New Roman" w:cs="Times New Roman"/>
          <w:i/>
          <w:sz w:val="28"/>
          <w:szCs w:val="28"/>
          <w:shd w:val="clear" w:color="auto" w:fill="FFFFFF"/>
        </w:rPr>
        <w:t xml:space="preserve"> Н.А. (Барнаул)</w:t>
      </w:r>
    </w:p>
    <w:p w:rsidR="002E2329" w:rsidRDefault="002E2329" w:rsidP="002E2329">
      <w:pPr>
        <w:pStyle w:val="a4"/>
        <w:jc w:val="center"/>
        <w:rPr>
          <w:rFonts w:ascii="Times New Roman" w:hAnsi="Times New Roman" w:cs="Times New Roman"/>
          <w:color w:val="0D0D0D"/>
          <w:sz w:val="28"/>
          <w:szCs w:val="28"/>
          <w:lang w:eastAsia="ru-RU"/>
        </w:rPr>
      </w:pP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 xml:space="preserve">Ресурсный подход, </w:t>
      </w:r>
      <w:r w:rsidR="006C4E61" w:rsidRPr="00AF3AF2">
        <w:rPr>
          <w:rFonts w:ascii="Times New Roman" w:hAnsi="Times New Roman" w:cs="Times New Roman"/>
          <w:color w:val="0D0D0D"/>
          <w:sz w:val="28"/>
          <w:szCs w:val="28"/>
          <w:lang w:eastAsia="ru-RU"/>
        </w:rPr>
        <w:t xml:space="preserve">утверждал в своих исследованиях </w:t>
      </w:r>
      <w:proofErr w:type="spellStart"/>
      <w:r w:rsidRPr="00AF3AF2">
        <w:rPr>
          <w:rFonts w:ascii="Times New Roman" w:hAnsi="Times New Roman" w:cs="Times New Roman"/>
          <w:color w:val="0D0D0D"/>
          <w:sz w:val="28"/>
          <w:szCs w:val="28"/>
          <w:lang w:eastAsia="ru-RU"/>
        </w:rPr>
        <w:t>Чэмберлин</w:t>
      </w:r>
      <w:proofErr w:type="spellEnd"/>
      <w:r w:rsidRPr="00AF3AF2">
        <w:rPr>
          <w:rFonts w:ascii="Times New Roman" w:hAnsi="Times New Roman" w:cs="Times New Roman"/>
          <w:color w:val="0D0D0D"/>
          <w:sz w:val="28"/>
          <w:szCs w:val="28"/>
          <w:lang w:eastAsia="ru-RU"/>
        </w:rPr>
        <w:t xml:space="preserve">, ключевые организационные </w:t>
      </w:r>
      <w:r w:rsidR="006C4E61">
        <w:rPr>
          <w:rFonts w:ascii="Times New Roman" w:hAnsi="Times New Roman" w:cs="Times New Roman"/>
          <w:color w:val="0D0D0D"/>
          <w:sz w:val="28"/>
          <w:szCs w:val="28"/>
          <w:lang w:eastAsia="ru-RU"/>
        </w:rPr>
        <w:t>возможности организации, включавшие</w:t>
      </w:r>
      <w:r w:rsidRPr="00AF3AF2">
        <w:rPr>
          <w:rFonts w:ascii="Times New Roman" w:hAnsi="Times New Roman" w:cs="Times New Roman"/>
          <w:color w:val="0D0D0D"/>
          <w:sz w:val="28"/>
          <w:szCs w:val="28"/>
          <w:lang w:eastAsia="ru-RU"/>
        </w:rPr>
        <w:t xml:space="preserve"> в себя технологические ноу-хау, репутацию, торговые марки, способность менеджеров кооперироваться для достижения целей. Основы ресурсного подхода излагает в своих работах Эдит </w:t>
      </w:r>
      <w:proofErr w:type="spellStart"/>
      <w:r w:rsidRPr="00AF3AF2">
        <w:rPr>
          <w:rFonts w:ascii="Times New Roman" w:hAnsi="Times New Roman" w:cs="Times New Roman"/>
          <w:color w:val="0D0D0D"/>
          <w:sz w:val="28"/>
          <w:szCs w:val="28"/>
          <w:lang w:eastAsia="ru-RU"/>
        </w:rPr>
        <w:t>Пенроуз</w:t>
      </w:r>
      <w:proofErr w:type="spellEnd"/>
      <w:r w:rsidRPr="00AF3AF2">
        <w:rPr>
          <w:rFonts w:ascii="Times New Roman" w:hAnsi="Times New Roman" w:cs="Times New Roman"/>
          <w:color w:val="0D0D0D"/>
          <w:sz w:val="28"/>
          <w:szCs w:val="28"/>
          <w:lang w:eastAsia="ru-RU"/>
        </w:rPr>
        <w:t>, по ее мнению, «организация представляет собой больше, чем просто административную единицу, это также совокупность ресурсов, распределение которых между разными пользователями с течением времени посредством принятия административного решения» [</w:t>
      </w:r>
      <w:r w:rsidR="006C4E61" w:rsidRPr="000F74BE">
        <w:rPr>
          <w:rFonts w:ascii="Times New Roman" w:hAnsi="Times New Roman" w:cs="Times New Roman"/>
          <w:i/>
          <w:color w:val="0D0D0D"/>
          <w:sz w:val="28"/>
          <w:szCs w:val="28"/>
          <w:lang w:eastAsia="ru-RU"/>
        </w:rPr>
        <w:t>3</w:t>
      </w:r>
      <w:r w:rsidRPr="000F74BE">
        <w:rPr>
          <w:rFonts w:ascii="Times New Roman" w:hAnsi="Times New Roman" w:cs="Times New Roman"/>
          <w:i/>
          <w:color w:val="0D0D0D"/>
          <w:sz w:val="28"/>
          <w:szCs w:val="28"/>
          <w:lang w:eastAsia="ru-RU"/>
        </w:rPr>
        <w:t>, с.2</w:t>
      </w:r>
      <w:r w:rsidRPr="00AF3AF2">
        <w:rPr>
          <w:rFonts w:ascii="Times New Roman" w:hAnsi="Times New Roman" w:cs="Times New Roman"/>
          <w:color w:val="0D0D0D"/>
          <w:sz w:val="28"/>
          <w:szCs w:val="28"/>
          <w:lang w:eastAsia="ru-RU"/>
        </w:rPr>
        <w:t xml:space="preserve">]. В 1980 г. Майкл Портер подробно охарактеризовал в своих исследованиях внешние условия окружающей среды организаций, способствующие высоким показателям деятельности. </w:t>
      </w: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Под ресурсами подразумеваются все доступные организации ресурсы, ее способности, организационные процессы, информация, знания и т.п., которые контролируются организацией и позволяют ей на их базе разрабатывать и реализовывать стратегии, повышающие ее эффективность и результативность [</w:t>
      </w:r>
      <w:r w:rsidR="006C4E61" w:rsidRPr="000F74BE">
        <w:rPr>
          <w:rFonts w:ascii="Times New Roman" w:hAnsi="Times New Roman" w:cs="Times New Roman"/>
          <w:i/>
          <w:color w:val="0D0D0D"/>
          <w:sz w:val="28"/>
          <w:szCs w:val="28"/>
          <w:lang w:eastAsia="ru-RU"/>
        </w:rPr>
        <w:t>4</w:t>
      </w:r>
      <w:r w:rsidRPr="000F74BE">
        <w:rPr>
          <w:rFonts w:ascii="Times New Roman" w:hAnsi="Times New Roman" w:cs="Times New Roman"/>
          <w:i/>
          <w:color w:val="0D0D0D"/>
          <w:sz w:val="28"/>
          <w:szCs w:val="28"/>
          <w:lang w:eastAsia="ru-RU"/>
        </w:rPr>
        <w:t>, с.231</w:t>
      </w:r>
      <w:r w:rsidRPr="00AF3AF2">
        <w:rPr>
          <w:rFonts w:ascii="Times New Roman" w:hAnsi="Times New Roman" w:cs="Times New Roman"/>
          <w:color w:val="0D0D0D"/>
          <w:sz w:val="28"/>
          <w:szCs w:val="28"/>
          <w:lang w:eastAsia="ru-RU"/>
        </w:rPr>
        <w:t xml:space="preserve">]. </w:t>
      </w: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Барни разделяет ресурсы по трем категориям:</w:t>
      </w: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  материальные ресурсы- конкретные технологии, используемые организацией, оборудование, здания, географическое положение, и т.п.;</w:t>
      </w: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 человеческие ресурсы - образование, опыт, повышение квалификации, интеллектуальный уровень работников организации;</w:t>
      </w:r>
    </w:p>
    <w:p w:rsidR="002E2329" w:rsidRPr="00AF3AF2" w:rsidRDefault="002E2329" w:rsidP="00AF3AF2">
      <w:pPr>
        <w:pStyle w:val="a4"/>
        <w:spacing w:line="360" w:lineRule="auto"/>
        <w:ind w:firstLine="708"/>
        <w:jc w:val="both"/>
        <w:rPr>
          <w:rFonts w:ascii="Times New Roman" w:hAnsi="Times New Roman" w:cs="Times New Roman"/>
          <w:color w:val="0D0D0D"/>
          <w:sz w:val="28"/>
          <w:szCs w:val="28"/>
          <w:lang w:eastAsia="ru-RU"/>
        </w:rPr>
      </w:pPr>
      <w:r w:rsidRPr="00AF3AF2">
        <w:rPr>
          <w:rFonts w:ascii="Times New Roman" w:hAnsi="Times New Roman" w:cs="Times New Roman"/>
          <w:color w:val="0D0D0D"/>
          <w:sz w:val="28"/>
          <w:szCs w:val="28"/>
          <w:lang w:eastAsia="ru-RU"/>
        </w:rPr>
        <w:t>- организационные - отчетность, механизм формального и неформального планирования, контроля и координации [</w:t>
      </w:r>
      <w:r w:rsidR="006C4E61" w:rsidRPr="000F74BE">
        <w:rPr>
          <w:rFonts w:ascii="Times New Roman" w:hAnsi="Times New Roman" w:cs="Times New Roman"/>
          <w:i/>
          <w:color w:val="0D0D0D"/>
          <w:sz w:val="28"/>
          <w:szCs w:val="28"/>
          <w:lang w:eastAsia="ru-RU"/>
        </w:rPr>
        <w:t>3</w:t>
      </w:r>
      <w:r w:rsidRPr="000F74BE">
        <w:rPr>
          <w:rFonts w:ascii="Times New Roman" w:hAnsi="Times New Roman" w:cs="Times New Roman"/>
          <w:i/>
          <w:color w:val="0D0D0D"/>
          <w:sz w:val="28"/>
          <w:szCs w:val="28"/>
          <w:lang w:eastAsia="ru-RU"/>
        </w:rPr>
        <w:t>, с.12</w:t>
      </w:r>
      <w:r w:rsidRPr="00AF3AF2">
        <w:rPr>
          <w:rFonts w:ascii="Times New Roman" w:hAnsi="Times New Roman" w:cs="Times New Roman"/>
          <w:color w:val="0D0D0D"/>
          <w:sz w:val="28"/>
          <w:szCs w:val="28"/>
          <w:lang w:eastAsia="ru-RU"/>
        </w:rPr>
        <w:t>].</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lastRenderedPageBreak/>
        <w:t>Н.С. Ежкова пишет о том, что можно выделить несколько групп ресурсов дошкольного учреждения: человеческие ресурсы, информационно-методические, материально-технические и организационные ресурсы.</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Человеческий ресурс обеспечивает качественную реализацию образовательных программ. Родители воспитанников - это также внутренний ресурс, повышающий качество образовательного процесса в дошкольном учреждении [</w:t>
      </w:r>
      <w:r w:rsidR="006C4E61" w:rsidRPr="000F74BE">
        <w:rPr>
          <w:rFonts w:ascii="Times New Roman" w:hAnsi="Times New Roman" w:cs="Times New Roman"/>
          <w:i/>
          <w:sz w:val="28"/>
          <w:szCs w:val="28"/>
          <w:lang w:eastAsia="ru-RU"/>
        </w:rPr>
        <w:t>2</w:t>
      </w:r>
      <w:r w:rsidRPr="000F74BE">
        <w:rPr>
          <w:rFonts w:ascii="Times New Roman" w:hAnsi="Times New Roman" w:cs="Times New Roman"/>
          <w:i/>
          <w:sz w:val="28"/>
          <w:szCs w:val="28"/>
          <w:lang w:eastAsia="ru-RU"/>
        </w:rPr>
        <w:t>, с.57</w:t>
      </w:r>
      <w:r w:rsidRPr="00AF3AF2">
        <w:rPr>
          <w:rFonts w:ascii="Times New Roman" w:hAnsi="Times New Roman" w:cs="Times New Roman"/>
          <w:sz w:val="28"/>
          <w:szCs w:val="28"/>
          <w:lang w:eastAsia="ru-RU"/>
        </w:rPr>
        <w:t>].</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Информационно-методические ресурсы представлены по ряду направлений:</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обеспечение каждого участника образовательного процесса доступом к информационно-методическим базам данных;</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обеспечение нормативно-программным сопровождением, учебно-методическими пособиями и иной необходимой информацией.</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Материально-технические ресурсы призваны сформировать образовательную среду дошкольного учреждения, адекватную задачам, поставленным ФГОС ДО.</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К организационным ресурсам относятся различные системы планирования, контроля и отчетности [</w:t>
      </w:r>
      <w:r w:rsidR="006C4E61" w:rsidRPr="000F74BE">
        <w:rPr>
          <w:rFonts w:ascii="Times New Roman" w:hAnsi="Times New Roman" w:cs="Times New Roman"/>
          <w:i/>
          <w:sz w:val="28"/>
          <w:szCs w:val="28"/>
          <w:lang w:eastAsia="ru-RU"/>
        </w:rPr>
        <w:t>2</w:t>
      </w:r>
      <w:r w:rsidRPr="000F74BE">
        <w:rPr>
          <w:rFonts w:ascii="Times New Roman" w:hAnsi="Times New Roman" w:cs="Times New Roman"/>
          <w:i/>
          <w:sz w:val="28"/>
          <w:szCs w:val="28"/>
          <w:lang w:eastAsia="ru-RU"/>
        </w:rPr>
        <w:t>, с.58</w:t>
      </w:r>
      <w:r w:rsidRPr="00AF3AF2">
        <w:rPr>
          <w:rFonts w:ascii="Times New Roman" w:hAnsi="Times New Roman" w:cs="Times New Roman"/>
          <w:sz w:val="28"/>
          <w:szCs w:val="28"/>
          <w:lang w:eastAsia="ru-RU"/>
        </w:rPr>
        <w:t xml:space="preserve">]. </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Следует отметить, что не все ресурсы и компетенции имеют равную стратегическую ценность. Некоторые из них являются более ценными и редкими, другие – менее. Ценность ресурсов определяется их значением для реализации стратегического плана и их доступностью для участников рынка, в том числе образовательного.</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proofErr w:type="spellStart"/>
      <w:r w:rsidRPr="00AF3AF2">
        <w:rPr>
          <w:rFonts w:ascii="Times New Roman" w:hAnsi="Times New Roman" w:cs="Times New Roman"/>
          <w:sz w:val="28"/>
          <w:szCs w:val="28"/>
          <w:lang w:eastAsia="ru-RU"/>
        </w:rPr>
        <w:t>Каталевский</w:t>
      </w:r>
      <w:proofErr w:type="spellEnd"/>
      <w:r w:rsidRPr="00AF3AF2">
        <w:rPr>
          <w:rFonts w:ascii="Times New Roman" w:hAnsi="Times New Roman" w:cs="Times New Roman"/>
          <w:sz w:val="28"/>
          <w:szCs w:val="28"/>
          <w:lang w:eastAsia="ru-RU"/>
        </w:rPr>
        <w:t xml:space="preserve"> Д.Ю. выделяет следующие критерии стратегической ценности ресурсов:</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ресурс должен быть ценным, улучшать положение организации на рынке.</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lastRenderedPageBreak/>
        <w:t>- ресурс должен быть редким: спрос на ресурс должен значительно превышать его предложение;</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ресурс должен быть неподверженным копированию или замене субститутами: для того, чтобы быть редким, ресурс должен быть немобильным, а также достаточно затратным для копирования или имитации [</w:t>
      </w:r>
      <w:r w:rsidR="006C4E61" w:rsidRPr="000F74BE">
        <w:rPr>
          <w:rFonts w:ascii="Times New Roman" w:hAnsi="Times New Roman" w:cs="Times New Roman"/>
          <w:i/>
          <w:sz w:val="28"/>
          <w:szCs w:val="28"/>
          <w:lang w:eastAsia="ru-RU"/>
        </w:rPr>
        <w:t>3</w:t>
      </w:r>
      <w:r w:rsidRPr="000F74BE">
        <w:rPr>
          <w:rFonts w:ascii="Times New Roman" w:hAnsi="Times New Roman" w:cs="Times New Roman"/>
          <w:i/>
          <w:sz w:val="28"/>
          <w:szCs w:val="28"/>
          <w:lang w:eastAsia="ru-RU"/>
        </w:rPr>
        <w:t>, с.11</w:t>
      </w:r>
      <w:r w:rsidRPr="00AF3AF2">
        <w:rPr>
          <w:rFonts w:ascii="Times New Roman" w:hAnsi="Times New Roman" w:cs="Times New Roman"/>
          <w:sz w:val="28"/>
          <w:szCs w:val="28"/>
          <w:lang w:eastAsia="ru-RU"/>
        </w:rPr>
        <w:t>].</w:t>
      </w:r>
    </w:p>
    <w:p w:rsidR="002E2329" w:rsidRPr="00AF3AF2" w:rsidRDefault="002E2329" w:rsidP="00AF3AF2">
      <w:pPr>
        <w:pStyle w:val="a4"/>
        <w:spacing w:line="360" w:lineRule="auto"/>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xml:space="preserve"> </w:t>
      </w:r>
      <w:r w:rsidRPr="00AF3AF2">
        <w:rPr>
          <w:rFonts w:ascii="Times New Roman" w:hAnsi="Times New Roman" w:cs="Times New Roman"/>
          <w:sz w:val="28"/>
          <w:szCs w:val="28"/>
          <w:lang w:eastAsia="ru-RU"/>
        </w:rPr>
        <w:tab/>
        <w:t>Если все критерии присущи ресурсу, то его следует рассматривать как источник конкурентных преимуществ организации и ее позиционирования на рынке услуг, в том числе образовательных.</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В системе дошкольного образования, в настоящее время, наблюдается этап теоретического осмысления ресурсного подхода и его практической апробации. Постепенное внедрение данного подхода протекает на фоне перехода к вероятностному прогнозированию во всех социальных сферах и отказа государства от разработки унифицированных рекомендаций по организации образовательной деятельности.</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На значимую роль ресурсного подхода в системе дошкольного образования указывала в своих исследованиях Косогова А.С. Автор указала на ряд противоречий, которые позволяет выделить ресурсный подход:</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противоречие между интенсивно изменяющимся и развивающимся личностным ресурсом ребенка и не востребованностью в полной мере его потенциала (возможностей для творчества, труда) в семье, в образовательной организации, в обществе;</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xml:space="preserve">- противоречие между воспитательным потенциалом системы дошкольного образования, проявляющимся в многообразии теоретических подходов и педагогических практик, и дефицитом </w:t>
      </w:r>
      <w:r w:rsidRPr="00AF3AF2">
        <w:rPr>
          <w:rFonts w:ascii="Times New Roman" w:hAnsi="Times New Roman" w:cs="Times New Roman"/>
          <w:sz w:val="28"/>
          <w:szCs w:val="28"/>
          <w:lang w:eastAsia="ru-RU"/>
        </w:rPr>
        <w:lastRenderedPageBreak/>
        <w:t>воспитательных ресурсов современной дошкольной образовательной организации для решения новых задач;</w:t>
      </w:r>
    </w:p>
    <w:p w:rsidR="002E2329" w:rsidRPr="00AF3AF2" w:rsidRDefault="002E2329" w:rsidP="00AF3AF2">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противоречие между социальным заказом государства и общества на воспитание граждан, способных содействовать процессам инновационного развития, и не разработанностью механизмов и системы ресурсного о</w:t>
      </w:r>
      <w:r w:rsidR="006C4E61">
        <w:rPr>
          <w:rFonts w:ascii="Times New Roman" w:hAnsi="Times New Roman" w:cs="Times New Roman"/>
          <w:sz w:val="28"/>
          <w:szCs w:val="28"/>
          <w:lang w:eastAsia="ru-RU"/>
        </w:rPr>
        <w:t>беспечения развития воспитания</w:t>
      </w:r>
      <w:r w:rsidRPr="00AF3AF2">
        <w:rPr>
          <w:rFonts w:ascii="Times New Roman" w:hAnsi="Times New Roman" w:cs="Times New Roman"/>
          <w:sz w:val="28"/>
          <w:szCs w:val="28"/>
          <w:lang w:eastAsia="ru-RU"/>
        </w:rPr>
        <w:t>.</w:t>
      </w:r>
    </w:p>
    <w:p w:rsidR="002E2329" w:rsidRDefault="002E2329" w:rsidP="000F74BE">
      <w:pPr>
        <w:pStyle w:val="a4"/>
        <w:spacing w:line="360" w:lineRule="auto"/>
        <w:ind w:firstLine="708"/>
        <w:jc w:val="both"/>
        <w:rPr>
          <w:rFonts w:ascii="Times New Roman" w:hAnsi="Times New Roman" w:cs="Times New Roman"/>
          <w:sz w:val="28"/>
          <w:szCs w:val="28"/>
          <w:lang w:eastAsia="ru-RU"/>
        </w:rPr>
      </w:pPr>
      <w:r w:rsidRPr="00AF3AF2">
        <w:rPr>
          <w:rFonts w:ascii="Times New Roman" w:hAnsi="Times New Roman" w:cs="Times New Roman"/>
          <w:sz w:val="28"/>
          <w:szCs w:val="28"/>
          <w:lang w:eastAsia="ru-RU"/>
        </w:rPr>
        <w:t xml:space="preserve">Таким образом, ресурсный подход выступает основой для качественного анализа сильных и слабых сторон организации, позволяя тем самым выделять те ресурсы, которые имеют ключевое значения для формирования ее конкурентного преимущества. Данный подход позволяет управленцам выявлять и более эффективно управлять ресурсами, создающими препятствия от их имитации конкурентами, что позволяет не только достичь конкурентного преимущества, но и сохранять его на протяжении длительного времени. Важным вкладом ресурсного подхода также стало осознание роли менеджмента. Следует отметить, что сами по себе ресурсы не могут создать создают конкурентное преимущество, выступить источником стратегического развития организации, развития ее стратегического потенциала.  </w:t>
      </w:r>
      <w:bookmarkStart w:id="0" w:name="_GoBack"/>
      <w:bookmarkEnd w:id="0"/>
    </w:p>
    <w:p w:rsidR="002E2329" w:rsidRPr="002E2329" w:rsidRDefault="002E2329" w:rsidP="000F74BE">
      <w:pPr>
        <w:pStyle w:val="a4"/>
        <w:spacing w:line="360" w:lineRule="auto"/>
        <w:jc w:val="center"/>
        <w:rPr>
          <w:rFonts w:ascii="Times New Roman" w:hAnsi="Times New Roman" w:cs="Times New Roman"/>
          <w:sz w:val="28"/>
          <w:szCs w:val="28"/>
        </w:rPr>
      </w:pPr>
      <w:bookmarkStart w:id="1" w:name="_Toc526495220"/>
      <w:bookmarkStart w:id="2" w:name="_Toc53128711"/>
      <w:r w:rsidRPr="002E2329">
        <w:rPr>
          <w:rFonts w:ascii="Times New Roman" w:hAnsi="Times New Roman" w:cs="Times New Roman"/>
          <w:sz w:val="28"/>
          <w:szCs w:val="28"/>
        </w:rPr>
        <w:t>Список литературы</w:t>
      </w:r>
      <w:bookmarkEnd w:id="1"/>
      <w:bookmarkEnd w:id="2"/>
    </w:p>
    <w:p w:rsidR="002E2329" w:rsidRPr="006C4E61" w:rsidRDefault="002E2329" w:rsidP="00AF3AF2">
      <w:pPr>
        <w:pStyle w:val="a4"/>
        <w:numPr>
          <w:ilvl w:val="0"/>
          <w:numId w:val="3"/>
        </w:numPr>
        <w:spacing w:line="360" w:lineRule="auto"/>
        <w:jc w:val="both"/>
        <w:rPr>
          <w:rFonts w:ascii="Times New Roman" w:hAnsi="Times New Roman" w:cs="Times New Roman"/>
          <w:color w:val="0D0D0D"/>
          <w:sz w:val="28"/>
          <w:szCs w:val="28"/>
          <w:lang w:eastAsia="ru-RU"/>
        </w:rPr>
      </w:pPr>
      <w:r w:rsidRPr="006C4E61">
        <w:rPr>
          <w:rFonts w:ascii="Times New Roman" w:hAnsi="Times New Roman" w:cs="Times New Roman"/>
          <w:color w:val="0D0D0D"/>
          <w:sz w:val="28"/>
          <w:szCs w:val="28"/>
          <w:lang w:eastAsia="ru-RU"/>
        </w:rPr>
        <w:t>Готфрид, Н.П. Дошкольное образование в современной России: проблемы и перспективы развития // Дошкольное образование: опыт, проблемы, перспективы развития. – 2017. - № 1 (12). – С. 35-37.</w:t>
      </w:r>
    </w:p>
    <w:p w:rsidR="002E2329" w:rsidRPr="006C4E61" w:rsidRDefault="002E2329" w:rsidP="00AF3AF2">
      <w:pPr>
        <w:pStyle w:val="a4"/>
        <w:numPr>
          <w:ilvl w:val="0"/>
          <w:numId w:val="3"/>
        </w:numPr>
        <w:spacing w:line="360" w:lineRule="auto"/>
        <w:jc w:val="both"/>
        <w:rPr>
          <w:rFonts w:ascii="Times New Roman" w:hAnsi="Times New Roman" w:cs="Times New Roman"/>
          <w:color w:val="0D0D0D"/>
          <w:sz w:val="28"/>
          <w:szCs w:val="28"/>
          <w:lang w:eastAsia="ru-RU"/>
        </w:rPr>
      </w:pPr>
      <w:r w:rsidRPr="006C4E61">
        <w:rPr>
          <w:rFonts w:ascii="Times New Roman" w:hAnsi="Times New Roman" w:cs="Times New Roman"/>
          <w:color w:val="0D0D0D"/>
          <w:sz w:val="28"/>
          <w:szCs w:val="28"/>
          <w:lang w:eastAsia="ru-RU"/>
        </w:rPr>
        <w:t>Иванов А.В., Королева С.В. Использование SWOT-анализа как метода оценки качества образовательных услуг в ДОО // Педагогическое образование в Росси- и.-</w:t>
      </w:r>
      <w:proofErr w:type="gramStart"/>
      <w:r w:rsidRPr="006C4E61">
        <w:rPr>
          <w:rFonts w:ascii="Times New Roman" w:hAnsi="Times New Roman" w:cs="Times New Roman"/>
          <w:color w:val="0D0D0D"/>
          <w:sz w:val="28"/>
          <w:szCs w:val="28"/>
          <w:lang w:eastAsia="ru-RU"/>
        </w:rPr>
        <w:t>2014.-</w:t>
      </w:r>
      <w:proofErr w:type="gramEnd"/>
      <w:r w:rsidRPr="006C4E61">
        <w:rPr>
          <w:rFonts w:ascii="Times New Roman" w:hAnsi="Times New Roman" w:cs="Times New Roman"/>
          <w:color w:val="0D0D0D"/>
          <w:sz w:val="28"/>
          <w:szCs w:val="28"/>
          <w:lang w:eastAsia="ru-RU"/>
        </w:rPr>
        <w:t>№11.-С.63-67.</w:t>
      </w:r>
    </w:p>
    <w:p w:rsidR="002E2329" w:rsidRPr="006C4E61" w:rsidRDefault="002E2329" w:rsidP="00AF3AF2">
      <w:pPr>
        <w:pStyle w:val="a4"/>
        <w:numPr>
          <w:ilvl w:val="0"/>
          <w:numId w:val="3"/>
        </w:numPr>
        <w:spacing w:line="360" w:lineRule="auto"/>
        <w:jc w:val="both"/>
        <w:rPr>
          <w:rFonts w:ascii="Times New Roman" w:hAnsi="Times New Roman" w:cs="Times New Roman"/>
          <w:color w:val="0D0D0D"/>
          <w:sz w:val="28"/>
          <w:szCs w:val="28"/>
          <w:lang w:eastAsia="ru-RU"/>
        </w:rPr>
      </w:pPr>
      <w:r w:rsidRPr="006C4E61">
        <w:rPr>
          <w:rFonts w:ascii="Times New Roman" w:hAnsi="Times New Roman" w:cs="Times New Roman"/>
          <w:color w:val="0D0D0D"/>
          <w:sz w:val="28"/>
          <w:szCs w:val="28"/>
          <w:lang w:eastAsia="ru-RU"/>
        </w:rPr>
        <w:lastRenderedPageBreak/>
        <w:t>Косогова, А.С. Аспекты ресурсного подхода в дошкольном образовании // Балтийский гуманитарный журнал. - 2018. - Т. 7. - № 1 (22). - С. 263-266.</w:t>
      </w:r>
    </w:p>
    <w:p w:rsidR="002E2329" w:rsidRPr="006C4E61" w:rsidRDefault="002E2329" w:rsidP="00AF3AF2">
      <w:pPr>
        <w:pStyle w:val="a4"/>
        <w:numPr>
          <w:ilvl w:val="0"/>
          <w:numId w:val="3"/>
        </w:numPr>
        <w:spacing w:line="360" w:lineRule="auto"/>
        <w:jc w:val="both"/>
        <w:rPr>
          <w:rFonts w:ascii="Times New Roman" w:hAnsi="Times New Roman" w:cs="Times New Roman"/>
          <w:color w:val="0D0D0D"/>
          <w:sz w:val="28"/>
          <w:szCs w:val="28"/>
          <w:lang w:eastAsia="ru-RU"/>
        </w:rPr>
      </w:pPr>
      <w:proofErr w:type="spellStart"/>
      <w:r w:rsidRPr="006C4E61">
        <w:rPr>
          <w:rFonts w:ascii="Times New Roman" w:hAnsi="Times New Roman" w:cs="Times New Roman"/>
          <w:color w:val="0D0D0D"/>
          <w:sz w:val="28"/>
          <w:szCs w:val="28"/>
          <w:lang w:eastAsia="ru-RU"/>
        </w:rPr>
        <w:t>Коцюруба</w:t>
      </w:r>
      <w:proofErr w:type="spellEnd"/>
      <w:r w:rsidRPr="006C4E61">
        <w:rPr>
          <w:rFonts w:ascii="Times New Roman" w:hAnsi="Times New Roman" w:cs="Times New Roman"/>
          <w:color w:val="0D0D0D"/>
          <w:sz w:val="28"/>
          <w:szCs w:val="28"/>
          <w:lang w:eastAsia="ru-RU"/>
        </w:rPr>
        <w:t xml:space="preserve"> А.Р. Проблемы совершенствования управления деятельностью дошкольного образовательного учреждения в России / А. Р. </w:t>
      </w:r>
      <w:proofErr w:type="spellStart"/>
      <w:r w:rsidRPr="006C4E61">
        <w:rPr>
          <w:rFonts w:ascii="Times New Roman" w:hAnsi="Times New Roman" w:cs="Times New Roman"/>
          <w:color w:val="0D0D0D"/>
          <w:sz w:val="28"/>
          <w:szCs w:val="28"/>
          <w:lang w:eastAsia="ru-RU"/>
        </w:rPr>
        <w:t>Коцюруба</w:t>
      </w:r>
      <w:proofErr w:type="spellEnd"/>
      <w:r w:rsidRPr="006C4E61">
        <w:rPr>
          <w:rFonts w:ascii="Times New Roman" w:hAnsi="Times New Roman" w:cs="Times New Roman"/>
          <w:color w:val="0D0D0D"/>
          <w:sz w:val="28"/>
          <w:szCs w:val="28"/>
          <w:lang w:eastAsia="ru-RU"/>
        </w:rPr>
        <w:t xml:space="preserve"> // Ученый XXI века. – 2015. – № 1−2 (2−3). С. 30−33. </w:t>
      </w:r>
    </w:p>
    <w:p w:rsidR="002E2329" w:rsidRPr="002E2329" w:rsidRDefault="002E2329" w:rsidP="006C4E61">
      <w:pPr>
        <w:pStyle w:val="a4"/>
        <w:spacing w:line="360" w:lineRule="auto"/>
        <w:ind w:left="720"/>
        <w:jc w:val="both"/>
        <w:rPr>
          <w:rFonts w:ascii="Times New Roman" w:hAnsi="Times New Roman" w:cs="Times New Roman"/>
          <w:color w:val="0D0D0D"/>
          <w:sz w:val="28"/>
          <w:szCs w:val="28"/>
          <w:lang w:eastAsia="ru-RU"/>
        </w:rPr>
      </w:pPr>
      <w:r w:rsidRPr="002E2329">
        <w:rPr>
          <w:rFonts w:ascii="Times New Roman" w:hAnsi="Times New Roman" w:cs="Times New Roman"/>
          <w:color w:val="0D0D0D"/>
          <w:sz w:val="28"/>
          <w:szCs w:val="28"/>
          <w:lang w:eastAsia="ru-RU"/>
        </w:rPr>
        <w:t xml:space="preserve"> </w:t>
      </w:r>
    </w:p>
    <w:sectPr w:rsidR="002E2329" w:rsidRPr="002E2329" w:rsidSect="00AF3AF2">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DCE281C8"/>
    <w:lvl w:ilvl="0" w:tplc="71A646E8">
      <w:start w:val="1"/>
      <w:numFmt w:val="decimal"/>
      <w:lvlText w:val="%1."/>
      <w:lvlJc w:val="left"/>
      <w:rPr>
        <w:rFonts w:cs="Times New Roman"/>
      </w:rPr>
    </w:lvl>
    <w:lvl w:ilvl="1" w:tplc="85CAFE9E">
      <w:numFmt w:val="decimal"/>
      <w:lvlText w:val=""/>
      <w:lvlJc w:val="left"/>
      <w:rPr>
        <w:rFonts w:cs="Times New Roman"/>
      </w:rPr>
    </w:lvl>
    <w:lvl w:ilvl="2" w:tplc="A35EF8F4">
      <w:numFmt w:val="decimal"/>
      <w:lvlText w:val=""/>
      <w:lvlJc w:val="left"/>
      <w:rPr>
        <w:rFonts w:cs="Times New Roman"/>
      </w:rPr>
    </w:lvl>
    <w:lvl w:ilvl="3" w:tplc="5E6CD000">
      <w:numFmt w:val="decimal"/>
      <w:lvlText w:val=""/>
      <w:lvlJc w:val="left"/>
      <w:rPr>
        <w:rFonts w:cs="Times New Roman"/>
      </w:rPr>
    </w:lvl>
    <w:lvl w:ilvl="4" w:tplc="4C7C92A4">
      <w:numFmt w:val="decimal"/>
      <w:lvlText w:val=""/>
      <w:lvlJc w:val="left"/>
      <w:rPr>
        <w:rFonts w:cs="Times New Roman"/>
      </w:rPr>
    </w:lvl>
    <w:lvl w:ilvl="5" w:tplc="2CFACE5C">
      <w:numFmt w:val="decimal"/>
      <w:lvlText w:val=""/>
      <w:lvlJc w:val="left"/>
      <w:rPr>
        <w:rFonts w:cs="Times New Roman"/>
      </w:rPr>
    </w:lvl>
    <w:lvl w:ilvl="6" w:tplc="5D3E8A14">
      <w:numFmt w:val="decimal"/>
      <w:lvlText w:val=""/>
      <w:lvlJc w:val="left"/>
      <w:rPr>
        <w:rFonts w:cs="Times New Roman"/>
      </w:rPr>
    </w:lvl>
    <w:lvl w:ilvl="7" w:tplc="A7B4419E">
      <w:numFmt w:val="decimal"/>
      <w:lvlText w:val=""/>
      <w:lvlJc w:val="left"/>
      <w:rPr>
        <w:rFonts w:cs="Times New Roman"/>
      </w:rPr>
    </w:lvl>
    <w:lvl w:ilvl="8" w:tplc="A77A90D2">
      <w:numFmt w:val="decimal"/>
      <w:lvlText w:val=""/>
      <w:lvlJc w:val="left"/>
      <w:rPr>
        <w:rFonts w:cs="Times New Roman"/>
      </w:rPr>
    </w:lvl>
  </w:abstractNum>
  <w:abstractNum w:abstractNumId="1" w15:restartNumberingAfterBreak="0">
    <w:nsid w:val="3BB13ED5"/>
    <w:multiLevelType w:val="hybridMultilevel"/>
    <w:tmpl w:val="7316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DF4848"/>
    <w:multiLevelType w:val="hybridMultilevel"/>
    <w:tmpl w:val="90C2D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A9"/>
    <w:rsid w:val="000F74BE"/>
    <w:rsid w:val="002E2329"/>
    <w:rsid w:val="006C4E61"/>
    <w:rsid w:val="00860DA9"/>
    <w:rsid w:val="00AF3AF2"/>
    <w:rsid w:val="00BD4281"/>
    <w:rsid w:val="00F9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4213"/>
  <w15:chartTrackingRefBased/>
  <w15:docId w15:val="{D7998BA1-F04B-4630-BC21-1644C87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E2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2022-11-18T05:24:00Z</dcterms:created>
  <dcterms:modified xsi:type="dcterms:W3CDTF">2022-11-18T07:11:00Z</dcterms:modified>
</cp:coreProperties>
</file>